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E8" w:rsidRPr="00F84C0F" w:rsidRDefault="001B4BE8" w:rsidP="001B4BE8">
      <w:pPr>
        <w:spacing w:line="460" w:lineRule="exact"/>
        <w:ind w:rightChars="35" w:right="84"/>
        <w:rPr>
          <w:rFonts w:eastAsia="標楷體" w:hAnsi="標楷體"/>
          <w:color w:val="000000"/>
          <w:sz w:val="40"/>
          <w:szCs w:val="20"/>
        </w:rPr>
      </w:pPr>
      <w:bookmarkStart w:id="0" w:name="_GoBack"/>
      <w:bookmarkEnd w:id="0"/>
      <w:r w:rsidRPr="00F84C0F">
        <w:rPr>
          <w:rFonts w:eastAsia="標楷體" w:hAnsi="標楷體"/>
          <w:color w:val="000000"/>
          <w:sz w:val="40"/>
          <w:szCs w:val="20"/>
        </w:rPr>
        <w:t>證券投資信託</w:t>
      </w:r>
      <w:r w:rsidRPr="00F84C0F">
        <w:rPr>
          <w:rFonts w:eastAsia="標楷體" w:hAnsi="標楷體" w:hint="eastAsia"/>
          <w:color w:val="000000"/>
          <w:sz w:val="40"/>
          <w:szCs w:val="20"/>
        </w:rPr>
        <w:t>事業</w:t>
      </w:r>
      <w:r>
        <w:rPr>
          <w:rFonts w:eastAsia="標楷體" w:hAnsi="標楷體" w:hint="eastAsia"/>
          <w:color w:val="000000"/>
          <w:sz w:val="40"/>
          <w:szCs w:val="20"/>
        </w:rPr>
        <w:t>設置標準</w:t>
      </w:r>
      <w:r w:rsidRPr="009F7A8A">
        <w:rPr>
          <w:rFonts w:eastAsia="標楷體" w:hAnsi="標楷體" w:hint="eastAsia"/>
          <w:color w:val="000000"/>
          <w:sz w:val="40"/>
          <w:szCs w:val="20"/>
        </w:rPr>
        <w:t>第十五條、第十六條</w:t>
      </w:r>
      <w:r>
        <w:rPr>
          <w:rFonts w:eastAsia="標楷體" w:hAnsi="標楷體" w:hint="eastAsia"/>
          <w:color w:val="000000"/>
          <w:sz w:val="40"/>
          <w:szCs w:val="20"/>
        </w:rPr>
        <w:t>、</w:t>
      </w:r>
      <w:r w:rsidRPr="009F7A8A">
        <w:rPr>
          <w:rFonts w:eastAsia="標楷體" w:hAnsi="標楷體" w:hint="eastAsia"/>
          <w:color w:val="000000"/>
          <w:sz w:val="40"/>
          <w:szCs w:val="20"/>
        </w:rPr>
        <w:t>第四十五條修正草案</w:t>
      </w:r>
      <w:r w:rsidRPr="00F84C0F">
        <w:rPr>
          <w:rFonts w:eastAsia="標楷體" w:hAnsi="標楷體" w:hint="eastAsia"/>
          <w:color w:val="000000"/>
          <w:sz w:val="40"/>
          <w:szCs w:val="20"/>
        </w:rPr>
        <w:t>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1B4BE8" w:rsidRPr="00022A72" w:rsidTr="009C1D08">
        <w:tc>
          <w:tcPr>
            <w:tcW w:w="2787" w:type="dxa"/>
            <w:shd w:val="clear" w:color="auto" w:fill="auto"/>
          </w:tcPr>
          <w:p w:rsidR="001B4BE8" w:rsidRPr="00022A72" w:rsidRDefault="001B4BE8" w:rsidP="009C1D08">
            <w:pPr>
              <w:jc w:val="center"/>
              <w:rPr>
                <w:color w:val="000000"/>
              </w:rPr>
            </w:pPr>
            <w:r w:rsidRPr="00022A72">
              <w:rPr>
                <w:rFonts w:eastAsia="標楷體" w:hAnsi="標楷體"/>
                <w:bCs/>
                <w:color w:val="000000"/>
                <w:spacing w:val="-10"/>
              </w:rPr>
              <w:t>修正條文</w:t>
            </w:r>
          </w:p>
        </w:tc>
        <w:tc>
          <w:tcPr>
            <w:tcW w:w="2787" w:type="dxa"/>
            <w:shd w:val="clear" w:color="auto" w:fill="auto"/>
          </w:tcPr>
          <w:p w:rsidR="001B4BE8" w:rsidRPr="00022A72" w:rsidRDefault="001B4BE8" w:rsidP="009C1D08">
            <w:pPr>
              <w:jc w:val="center"/>
              <w:rPr>
                <w:color w:val="000000"/>
              </w:rPr>
            </w:pPr>
            <w:r w:rsidRPr="00022A72">
              <w:rPr>
                <w:rFonts w:eastAsia="標楷體" w:hAnsi="標楷體"/>
                <w:bCs/>
                <w:color w:val="000000"/>
                <w:spacing w:val="-10"/>
              </w:rPr>
              <w:t>現行條文</w:t>
            </w:r>
          </w:p>
        </w:tc>
        <w:tc>
          <w:tcPr>
            <w:tcW w:w="2788" w:type="dxa"/>
            <w:shd w:val="clear" w:color="auto" w:fill="auto"/>
          </w:tcPr>
          <w:p w:rsidR="001B4BE8" w:rsidRPr="00022A72" w:rsidRDefault="001B4BE8" w:rsidP="009C1D08">
            <w:pPr>
              <w:jc w:val="center"/>
              <w:rPr>
                <w:color w:val="000000"/>
              </w:rPr>
            </w:pPr>
            <w:r w:rsidRPr="00022A72">
              <w:rPr>
                <w:rFonts w:eastAsia="標楷體" w:hAnsi="標楷體"/>
                <w:bCs/>
                <w:color w:val="000000"/>
                <w:spacing w:val="-10"/>
              </w:rPr>
              <w:t>說明</w:t>
            </w:r>
          </w:p>
        </w:tc>
      </w:tr>
      <w:tr w:rsidR="001B4BE8" w:rsidRPr="00022A72" w:rsidTr="009C1D08">
        <w:tc>
          <w:tcPr>
            <w:tcW w:w="2787" w:type="dxa"/>
            <w:shd w:val="clear" w:color="auto" w:fill="auto"/>
          </w:tcPr>
          <w:p w:rsidR="001B4BE8" w:rsidRPr="00022A72" w:rsidRDefault="001B4BE8" w:rsidP="009C1D08">
            <w:pPr>
              <w:adjustRightInd w:val="0"/>
              <w:snapToGrid w:val="0"/>
              <w:spacing w:line="360" w:lineRule="exact"/>
              <w:ind w:left="312" w:rightChars="12" w:right="29" w:hangingChars="130" w:hanging="312"/>
              <w:jc w:val="both"/>
              <w:rPr>
                <w:rFonts w:ascii="標楷體" w:eastAsia="標楷體" w:hAnsi="標楷體"/>
                <w:color w:val="000000"/>
              </w:rPr>
            </w:pPr>
            <w:r w:rsidRPr="00C7008A">
              <w:rPr>
                <w:rFonts w:ascii="標楷體" w:eastAsia="標楷體" w:hAnsi="標楷體" w:hint="eastAsia"/>
                <w:color w:val="000000"/>
              </w:rPr>
              <w:t>第十五條  信託業募集發行共同信託基金投資於證券交易法第六條之有價證券占共同信託基金募集發行額度百分之</w:t>
            </w:r>
            <w:r w:rsidRPr="00C7008A">
              <w:rPr>
                <w:rFonts w:ascii="標楷體" w:eastAsia="標楷體" w:hAnsi="標楷體" w:hint="eastAsia"/>
                <w:color w:val="000000"/>
                <w:u w:val="single"/>
              </w:rPr>
              <w:t>五</w:t>
            </w:r>
            <w:r w:rsidRPr="00C7008A">
              <w:rPr>
                <w:rFonts w:ascii="標楷體" w:eastAsia="標楷體" w:hAnsi="標楷體" w:hint="eastAsia"/>
                <w:color w:val="000000"/>
              </w:rPr>
              <w:t>十以上或可投資於證券交易法第六條之有價證券達新臺幣</w:t>
            </w:r>
            <w:r w:rsidRPr="00C7008A">
              <w:rPr>
                <w:rFonts w:ascii="標楷體" w:eastAsia="標楷體" w:hAnsi="標楷體" w:hint="eastAsia"/>
                <w:color w:val="000000"/>
                <w:u w:val="single"/>
              </w:rPr>
              <w:t>十</w:t>
            </w:r>
            <w:r w:rsidRPr="00C7008A">
              <w:rPr>
                <w:rFonts w:ascii="標楷體" w:eastAsia="標楷體" w:hAnsi="標楷體" w:hint="eastAsia"/>
                <w:color w:val="000000"/>
              </w:rPr>
              <w:t>億元以上者，應依本法規定先申請兼營證券投資信託業務，始得募集之。但募集發行貨幣市場共同信託基金，不在此限。</w:t>
            </w:r>
          </w:p>
        </w:tc>
        <w:tc>
          <w:tcPr>
            <w:tcW w:w="2787" w:type="dxa"/>
            <w:shd w:val="clear" w:color="auto" w:fill="auto"/>
          </w:tcPr>
          <w:p w:rsidR="001B4BE8" w:rsidRPr="00022A72" w:rsidRDefault="001B4BE8" w:rsidP="009C1D08">
            <w:pPr>
              <w:adjustRightInd w:val="0"/>
              <w:snapToGrid w:val="0"/>
              <w:spacing w:line="360" w:lineRule="exact"/>
              <w:ind w:left="271" w:rightChars="12" w:right="29" w:hangingChars="113" w:hanging="271"/>
              <w:jc w:val="both"/>
              <w:rPr>
                <w:rFonts w:ascii="標楷體" w:eastAsia="標楷體" w:hAnsi="標楷體"/>
                <w:color w:val="000000"/>
                <w:u w:val="single"/>
              </w:rPr>
            </w:pPr>
            <w:r w:rsidRPr="00022A72">
              <w:rPr>
                <w:rFonts w:ascii="標楷體" w:eastAsia="標楷體" w:hAnsi="標楷體" w:hint="eastAsia"/>
                <w:bCs/>
                <w:color w:val="000000"/>
              </w:rPr>
              <w:t>第</w:t>
            </w:r>
            <w:r>
              <w:rPr>
                <w:rFonts w:ascii="標楷體" w:eastAsia="標楷體" w:hAnsi="標楷體" w:hint="eastAsia"/>
                <w:bCs/>
                <w:color w:val="000000"/>
              </w:rPr>
              <w:t>十五</w:t>
            </w:r>
            <w:r w:rsidRPr="00022A72">
              <w:rPr>
                <w:rFonts w:ascii="標楷體" w:eastAsia="標楷體" w:hAnsi="標楷體" w:hint="eastAsia"/>
                <w:bCs/>
                <w:color w:val="000000"/>
              </w:rPr>
              <w:t>條</w:t>
            </w:r>
            <w:r>
              <w:rPr>
                <w:rFonts w:ascii="標楷體" w:eastAsia="標楷體" w:hAnsi="標楷體" w:hint="eastAsia"/>
                <w:bCs/>
                <w:color w:val="000000"/>
              </w:rPr>
              <w:t xml:space="preserve">  </w:t>
            </w:r>
            <w:r w:rsidRPr="00C7008A">
              <w:rPr>
                <w:rFonts w:ascii="標楷體" w:eastAsia="標楷體" w:hAnsi="標楷體" w:hint="eastAsia"/>
                <w:bCs/>
                <w:color w:val="000000"/>
              </w:rPr>
              <w:t>信託業募集發行共同信託基金投資於證券交易法第六條之有價證券占共同信託基金募集發行額度百分之</w:t>
            </w:r>
            <w:r w:rsidRPr="00DB5EE8">
              <w:rPr>
                <w:rFonts w:ascii="標楷體" w:eastAsia="標楷體" w:hAnsi="標楷體" w:hint="eastAsia"/>
                <w:bCs/>
                <w:color w:val="000000"/>
              </w:rPr>
              <w:t>四</w:t>
            </w:r>
            <w:r w:rsidRPr="00C7008A">
              <w:rPr>
                <w:rFonts w:ascii="標楷體" w:eastAsia="標楷體" w:hAnsi="標楷體" w:hint="eastAsia"/>
                <w:bCs/>
                <w:color w:val="000000"/>
              </w:rPr>
              <w:t>十以上或可投資於證券交易法第六條之有價證券達新臺幣</w:t>
            </w:r>
            <w:r w:rsidRPr="00DB5EE8">
              <w:rPr>
                <w:rFonts w:ascii="標楷體" w:eastAsia="標楷體" w:hAnsi="標楷體" w:hint="eastAsia"/>
                <w:bCs/>
                <w:color w:val="000000"/>
              </w:rPr>
              <w:t>六</w:t>
            </w:r>
            <w:r w:rsidRPr="00C7008A">
              <w:rPr>
                <w:rFonts w:ascii="標楷體" w:eastAsia="標楷體" w:hAnsi="標楷體" w:hint="eastAsia"/>
                <w:bCs/>
                <w:color w:val="000000"/>
              </w:rPr>
              <w:t>億元以上者，應依本法規定先申請兼營證券投資信託業務，始得募集之。但募集發行貨幣市場共同信託基金，不在此限。</w:t>
            </w:r>
          </w:p>
        </w:tc>
        <w:tc>
          <w:tcPr>
            <w:tcW w:w="2788" w:type="dxa"/>
            <w:shd w:val="clear" w:color="auto" w:fill="auto"/>
          </w:tcPr>
          <w:p w:rsidR="001B4BE8" w:rsidRPr="00022A72" w:rsidRDefault="001B4BE8" w:rsidP="009C1D08">
            <w:pPr>
              <w:ind w:leftChars="-19" w:left="-45" w:hanging="1"/>
              <w:jc w:val="both"/>
              <w:rPr>
                <w:rFonts w:eastAsia="標楷體"/>
                <w:color w:val="000000"/>
              </w:rPr>
            </w:pPr>
            <w:r w:rsidRPr="00C7008A">
              <w:rPr>
                <w:rFonts w:eastAsia="標楷體" w:hint="eastAsia"/>
                <w:color w:val="000000"/>
              </w:rPr>
              <w:t>為兼顧信託業</w:t>
            </w:r>
            <w:r>
              <w:rPr>
                <w:rFonts w:eastAsia="標楷體" w:hint="eastAsia"/>
                <w:color w:val="000000"/>
              </w:rPr>
              <w:t>之</w:t>
            </w:r>
            <w:r w:rsidRPr="00C7008A">
              <w:rPr>
                <w:rFonts w:eastAsia="標楷體" w:hint="eastAsia"/>
                <w:color w:val="000000"/>
              </w:rPr>
              <w:t>發展，</w:t>
            </w:r>
            <w:r>
              <w:rPr>
                <w:rFonts w:eastAsia="標楷體" w:hint="eastAsia"/>
                <w:color w:val="000000"/>
              </w:rPr>
              <w:t>並配合</w:t>
            </w:r>
            <w:r w:rsidRPr="009F7A8A">
              <w:rPr>
                <w:rFonts w:eastAsia="標楷體" w:hint="eastAsia"/>
                <w:color w:val="000000"/>
              </w:rPr>
              <w:t>金融監督管理委員會</w:t>
            </w:r>
            <w:r>
              <w:rPr>
                <w:rFonts w:eastAsia="標楷體" w:hint="eastAsia"/>
                <w:color w:val="000000"/>
              </w:rPr>
              <w:t>(</w:t>
            </w:r>
            <w:r>
              <w:rPr>
                <w:rFonts w:eastAsia="標楷體" w:hint="eastAsia"/>
                <w:color w:val="000000"/>
              </w:rPr>
              <w:t>以下簡稱金管會</w:t>
            </w:r>
            <w:r>
              <w:rPr>
                <w:rFonts w:eastAsia="標楷體" w:hint="eastAsia"/>
                <w:color w:val="000000"/>
              </w:rPr>
              <w:t>)</w:t>
            </w:r>
            <w:r w:rsidRPr="00C7008A">
              <w:rPr>
                <w:rFonts w:eastAsia="標楷體" w:hint="eastAsia"/>
                <w:color w:val="000000"/>
              </w:rPr>
              <w:t>共同信託基金管理辦法</w:t>
            </w:r>
            <w:r>
              <w:rPr>
                <w:rFonts w:eastAsia="標楷體" w:hint="eastAsia"/>
                <w:color w:val="000000"/>
              </w:rPr>
              <w:t>之</w:t>
            </w:r>
            <w:r w:rsidRPr="00824890">
              <w:rPr>
                <w:rFonts w:eastAsia="標楷體" w:hint="eastAsia"/>
                <w:color w:val="000000"/>
              </w:rPr>
              <w:t>修正</w:t>
            </w:r>
            <w:r>
              <w:rPr>
                <w:rFonts w:eastAsia="標楷體" w:hint="eastAsia"/>
                <w:color w:val="000000"/>
              </w:rPr>
              <w:t>，</w:t>
            </w:r>
            <w:proofErr w:type="gramStart"/>
            <w:r>
              <w:rPr>
                <w:rFonts w:eastAsia="標楷體" w:hint="eastAsia"/>
                <w:color w:val="000000"/>
              </w:rPr>
              <w:t>爰</w:t>
            </w:r>
            <w:proofErr w:type="gramEnd"/>
            <w:r>
              <w:rPr>
                <w:rFonts w:eastAsia="標楷體" w:hint="eastAsia"/>
                <w:color w:val="000000"/>
              </w:rPr>
              <w:t>放寬</w:t>
            </w:r>
            <w:r w:rsidRPr="00C7008A">
              <w:rPr>
                <w:rFonts w:eastAsia="標楷體" w:hint="eastAsia"/>
                <w:color w:val="000000"/>
              </w:rPr>
              <w:t>現行</w:t>
            </w:r>
            <w:r>
              <w:rPr>
                <w:rFonts w:eastAsia="標楷體" w:hint="eastAsia"/>
                <w:color w:val="000000"/>
              </w:rPr>
              <w:t>信託業</w:t>
            </w:r>
            <w:r w:rsidRPr="00C7008A">
              <w:rPr>
                <w:rFonts w:eastAsia="標楷體" w:hint="eastAsia"/>
                <w:color w:val="000000"/>
              </w:rPr>
              <w:t>申請兼營證券投資信託業務</w:t>
            </w:r>
            <w:r>
              <w:rPr>
                <w:rFonts w:eastAsia="標楷體" w:hint="eastAsia"/>
                <w:color w:val="000000"/>
              </w:rPr>
              <w:t>之門檻規定，將其</w:t>
            </w:r>
            <w:r w:rsidRPr="00F83453">
              <w:rPr>
                <w:rFonts w:eastAsia="標楷體" w:hint="eastAsia"/>
                <w:color w:val="000000"/>
              </w:rPr>
              <w:t>募集發行共同信託基金投資於證券交易法第六條之有價證券占共同信託基金募集發行額度</w:t>
            </w:r>
            <w:r>
              <w:rPr>
                <w:rFonts w:eastAsia="標楷體" w:hint="eastAsia"/>
                <w:color w:val="000000"/>
              </w:rPr>
              <w:t>百分之四十或</w:t>
            </w:r>
            <w:r w:rsidRPr="00C7008A">
              <w:rPr>
                <w:rFonts w:eastAsia="標楷體" w:hint="eastAsia"/>
                <w:color w:val="000000"/>
              </w:rPr>
              <w:t>新臺幣</w:t>
            </w:r>
            <w:r>
              <w:rPr>
                <w:rFonts w:eastAsia="標楷體" w:hint="eastAsia"/>
                <w:color w:val="000000"/>
              </w:rPr>
              <w:t>六</w:t>
            </w:r>
            <w:r w:rsidRPr="00C7008A">
              <w:rPr>
                <w:rFonts w:eastAsia="標楷體" w:hint="eastAsia"/>
                <w:color w:val="000000"/>
              </w:rPr>
              <w:t>億元</w:t>
            </w:r>
            <w:r>
              <w:rPr>
                <w:rFonts w:eastAsia="標楷體" w:hint="eastAsia"/>
                <w:color w:val="000000"/>
              </w:rPr>
              <w:t>以上，應先申請兼</w:t>
            </w:r>
            <w:r w:rsidRPr="00F83453">
              <w:rPr>
                <w:rFonts w:eastAsia="標楷體" w:hint="eastAsia"/>
                <w:color w:val="000000"/>
              </w:rPr>
              <w:t>營證券投資信託業務</w:t>
            </w:r>
            <w:r>
              <w:rPr>
                <w:rFonts w:eastAsia="標楷體" w:hint="eastAsia"/>
                <w:color w:val="000000"/>
              </w:rPr>
              <w:t>之規定</w:t>
            </w:r>
            <w:r w:rsidRPr="00C7008A">
              <w:rPr>
                <w:rFonts w:eastAsia="標楷體" w:hint="eastAsia"/>
                <w:color w:val="000000"/>
              </w:rPr>
              <w:t>，</w:t>
            </w:r>
            <w:r>
              <w:rPr>
                <w:rFonts w:eastAsia="標楷體" w:hint="eastAsia"/>
                <w:color w:val="000000"/>
              </w:rPr>
              <w:t>修正</w:t>
            </w:r>
            <w:r w:rsidRPr="00C7008A">
              <w:rPr>
                <w:rFonts w:eastAsia="標楷體" w:hint="eastAsia"/>
                <w:color w:val="000000"/>
              </w:rPr>
              <w:t>為發行額度</w:t>
            </w:r>
            <w:r>
              <w:rPr>
                <w:rFonts w:eastAsia="標楷體" w:hint="eastAsia"/>
                <w:color w:val="000000"/>
              </w:rPr>
              <w:t>百分之五十</w:t>
            </w:r>
            <w:r w:rsidRPr="00C7008A">
              <w:rPr>
                <w:rFonts w:eastAsia="標楷體" w:hint="eastAsia"/>
                <w:color w:val="000000"/>
              </w:rPr>
              <w:t>或新臺幣</w:t>
            </w:r>
            <w:r>
              <w:rPr>
                <w:rFonts w:eastAsia="標楷體" w:hint="eastAsia"/>
                <w:color w:val="000000"/>
              </w:rPr>
              <w:t>十億元。</w:t>
            </w:r>
          </w:p>
        </w:tc>
      </w:tr>
      <w:tr w:rsidR="001B4BE8" w:rsidRPr="00022A72" w:rsidTr="009C1D08">
        <w:tc>
          <w:tcPr>
            <w:tcW w:w="2787" w:type="dxa"/>
            <w:shd w:val="clear" w:color="auto" w:fill="auto"/>
          </w:tcPr>
          <w:p w:rsidR="001B4BE8" w:rsidRPr="00F75CF9" w:rsidRDefault="001B4BE8" w:rsidP="009C1D08">
            <w:pPr>
              <w:adjustRightInd w:val="0"/>
              <w:snapToGrid w:val="0"/>
              <w:spacing w:line="360" w:lineRule="exact"/>
              <w:ind w:left="240" w:rightChars="12" w:right="29" w:hangingChars="100" w:hanging="240"/>
              <w:jc w:val="both"/>
              <w:rPr>
                <w:rFonts w:ascii="標楷體" w:eastAsia="標楷體" w:hAnsi="標楷體"/>
                <w:bCs/>
                <w:color w:val="000000"/>
              </w:rPr>
            </w:pPr>
            <w:r w:rsidRPr="00F75CF9">
              <w:rPr>
                <w:rFonts w:ascii="標楷體" w:eastAsia="標楷體" w:hAnsi="標楷體" w:hint="eastAsia"/>
                <w:bCs/>
                <w:color w:val="000000"/>
              </w:rPr>
              <w:t>第十</w:t>
            </w:r>
            <w:r>
              <w:rPr>
                <w:rFonts w:ascii="標楷體" w:eastAsia="標楷體" w:hAnsi="標楷體" w:hint="eastAsia"/>
                <w:bCs/>
                <w:color w:val="000000"/>
              </w:rPr>
              <w:t>六</w:t>
            </w:r>
            <w:r w:rsidRPr="00F75CF9">
              <w:rPr>
                <w:rFonts w:ascii="標楷體" w:eastAsia="標楷體" w:hAnsi="標楷體" w:hint="eastAsia"/>
                <w:bCs/>
                <w:color w:val="000000"/>
              </w:rPr>
              <w:t>條</w:t>
            </w:r>
            <w:r>
              <w:rPr>
                <w:rFonts w:ascii="標楷體" w:eastAsia="標楷體" w:hAnsi="標楷體" w:hint="eastAsia"/>
                <w:bCs/>
                <w:color w:val="000000"/>
              </w:rPr>
              <w:t xml:space="preserve">  </w:t>
            </w:r>
            <w:r w:rsidRPr="00F75CF9">
              <w:rPr>
                <w:rFonts w:ascii="標楷體" w:eastAsia="標楷體" w:hAnsi="標楷體" w:hint="eastAsia"/>
                <w:bCs/>
                <w:color w:val="000000"/>
              </w:rPr>
              <w:t>信託業依本法第六條及前條規定申請兼營證券投資信託業務，應具備下列條件：</w:t>
            </w:r>
          </w:p>
          <w:p w:rsidR="001B4BE8" w:rsidRPr="00F75CF9" w:rsidRDefault="001B4BE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F75CF9">
              <w:rPr>
                <w:rFonts w:ascii="標楷體" w:eastAsia="標楷體" w:hAnsi="標楷體" w:hint="eastAsia"/>
                <w:bCs/>
                <w:color w:val="000000"/>
              </w:rPr>
              <w:t>一、最近期經會計師查核簽證之財務報告每股淨值不低於面額。</w:t>
            </w:r>
          </w:p>
          <w:p w:rsidR="001B4BE8" w:rsidRPr="00F75CF9" w:rsidRDefault="001B4BE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F75CF9">
              <w:rPr>
                <w:rFonts w:ascii="標楷體" w:eastAsia="標楷體" w:hAnsi="標楷體" w:hint="eastAsia"/>
                <w:bCs/>
                <w:color w:val="000000"/>
              </w:rPr>
              <w:t>二、最近半年未曾受本法第一百零三條第一款、證券交易法第六十六條第    一款、期貨交易法第一百條第一項第一款之處分或信託業法第四十四條糾正並限期改善三次以上之</w:t>
            </w:r>
            <w:r w:rsidRPr="00F75CF9">
              <w:rPr>
                <w:rFonts w:ascii="標楷體" w:eastAsia="標楷體" w:hAnsi="標楷體" w:hint="eastAsia"/>
                <w:bCs/>
                <w:color w:val="000000"/>
              </w:rPr>
              <w:lastRenderedPageBreak/>
              <w:t>處分。</w:t>
            </w:r>
          </w:p>
          <w:p w:rsidR="001B4BE8" w:rsidRPr="00C7008A" w:rsidRDefault="001B4BE8" w:rsidP="009C1D08">
            <w:pPr>
              <w:adjustRightInd w:val="0"/>
              <w:snapToGrid w:val="0"/>
              <w:spacing w:line="360" w:lineRule="exact"/>
              <w:ind w:leftChars="59" w:left="708" w:rightChars="12" w:right="29" w:hangingChars="236" w:hanging="566"/>
              <w:jc w:val="both"/>
              <w:rPr>
                <w:rFonts w:ascii="標楷體" w:eastAsia="標楷體" w:hAnsi="標楷體"/>
                <w:color w:val="000000"/>
              </w:rPr>
            </w:pPr>
            <w:r w:rsidRPr="00F75CF9">
              <w:rPr>
                <w:rFonts w:ascii="標楷體" w:eastAsia="標楷體" w:hAnsi="標楷體" w:hint="eastAsia"/>
                <w:bCs/>
                <w:color w:val="000000"/>
              </w:rPr>
              <w:t>三、最近二年未曾受本法第一百零三條第二款至第五款、證券交易法第六十六條第二款至第四款、期貨交易法第一百條第一項第二款至第四款之處分或信託業法第四十四條</w:t>
            </w:r>
            <w:r w:rsidRPr="009F7A8A">
              <w:rPr>
                <w:rFonts w:ascii="標楷體" w:eastAsia="標楷體" w:hAnsi="標楷體" w:hint="eastAsia"/>
                <w:bCs/>
                <w:color w:val="000000"/>
                <w:u w:val="single"/>
              </w:rPr>
              <w:t>第一款至第</w:t>
            </w:r>
            <w:r>
              <w:rPr>
                <w:rFonts w:ascii="標楷體" w:eastAsia="標楷體" w:hAnsi="標楷體" w:hint="eastAsia"/>
                <w:bCs/>
                <w:color w:val="000000"/>
                <w:u w:val="single"/>
              </w:rPr>
              <w:t>三</w:t>
            </w:r>
            <w:r w:rsidRPr="009F7A8A">
              <w:rPr>
                <w:rFonts w:ascii="標楷體" w:eastAsia="標楷體" w:hAnsi="標楷體" w:hint="eastAsia"/>
                <w:bCs/>
                <w:color w:val="000000"/>
                <w:u w:val="single"/>
              </w:rPr>
              <w:t>款</w:t>
            </w:r>
            <w:r w:rsidRPr="00F75CF9">
              <w:rPr>
                <w:rFonts w:ascii="標楷體" w:eastAsia="標楷體" w:hAnsi="標楷體" w:hint="eastAsia"/>
                <w:bCs/>
                <w:color w:val="000000"/>
              </w:rPr>
              <w:t>之處分。</w:t>
            </w:r>
          </w:p>
        </w:tc>
        <w:tc>
          <w:tcPr>
            <w:tcW w:w="2787" w:type="dxa"/>
            <w:shd w:val="clear" w:color="auto" w:fill="auto"/>
          </w:tcPr>
          <w:p w:rsidR="001B4BE8" w:rsidRPr="00F75CF9" w:rsidRDefault="001B4BE8" w:rsidP="009C1D08">
            <w:pPr>
              <w:adjustRightInd w:val="0"/>
              <w:snapToGrid w:val="0"/>
              <w:spacing w:line="360" w:lineRule="exact"/>
              <w:ind w:left="240" w:rightChars="12" w:right="29" w:hangingChars="100" w:hanging="240"/>
              <w:jc w:val="both"/>
              <w:rPr>
                <w:rFonts w:ascii="標楷體" w:eastAsia="標楷體" w:hAnsi="標楷體"/>
                <w:bCs/>
                <w:color w:val="000000"/>
              </w:rPr>
            </w:pPr>
            <w:r w:rsidRPr="00F75CF9">
              <w:rPr>
                <w:rFonts w:ascii="標楷體" w:eastAsia="標楷體" w:hAnsi="標楷體" w:hint="eastAsia"/>
                <w:bCs/>
                <w:color w:val="000000"/>
              </w:rPr>
              <w:lastRenderedPageBreak/>
              <w:t>第十</w:t>
            </w:r>
            <w:r>
              <w:rPr>
                <w:rFonts w:ascii="標楷體" w:eastAsia="標楷體" w:hAnsi="標楷體" w:hint="eastAsia"/>
                <w:bCs/>
                <w:color w:val="000000"/>
              </w:rPr>
              <w:t>六</w:t>
            </w:r>
            <w:r w:rsidRPr="00F75CF9">
              <w:rPr>
                <w:rFonts w:ascii="標楷體" w:eastAsia="標楷體" w:hAnsi="標楷體" w:hint="eastAsia"/>
                <w:bCs/>
                <w:color w:val="000000"/>
              </w:rPr>
              <w:t>條</w:t>
            </w:r>
            <w:r>
              <w:rPr>
                <w:rFonts w:ascii="標楷體" w:eastAsia="標楷體" w:hAnsi="標楷體" w:hint="eastAsia"/>
                <w:bCs/>
                <w:color w:val="000000"/>
              </w:rPr>
              <w:t xml:space="preserve">  </w:t>
            </w:r>
            <w:r w:rsidRPr="00F75CF9">
              <w:rPr>
                <w:rFonts w:ascii="標楷體" w:eastAsia="標楷體" w:hAnsi="標楷體" w:hint="eastAsia"/>
                <w:bCs/>
                <w:color w:val="000000"/>
              </w:rPr>
              <w:t>信託業依本法第六條及前條規定申請兼營證券投資信託業務，應具備下列條件：</w:t>
            </w:r>
          </w:p>
          <w:p w:rsidR="001B4BE8" w:rsidRPr="00F75CF9" w:rsidRDefault="001B4BE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F75CF9">
              <w:rPr>
                <w:rFonts w:ascii="標楷體" w:eastAsia="標楷體" w:hAnsi="標楷體" w:hint="eastAsia"/>
                <w:bCs/>
                <w:color w:val="000000"/>
              </w:rPr>
              <w:t>一、最近期經會計師查核簽證之財務報告每股淨值不低於面額。</w:t>
            </w:r>
          </w:p>
          <w:p w:rsidR="001B4BE8" w:rsidRPr="00F75CF9" w:rsidRDefault="001B4BE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F75CF9">
              <w:rPr>
                <w:rFonts w:ascii="標楷體" w:eastAsia="標楷體" w:hAnsi="標楷體" w:hint="eastAsia"/>
                <w:bCs/>
                <w:color w:val="000000"/>
              </w:rPr>
              <w:t>二、最近半年未曾受本法第一百零三條第一款、證券交易法第六十六條第    一款、期貨交易法第一百條第一項第一款之處分或信託業法第四十四條</w:t>
            </w:r>
            <w:r w:rsidRPr="00CA3D27">
              <w:rPr>
                <w:rFonts w:ascii="標楷體" w:eastAsia="標楷體" w:hAnsi="標楷體" w:hint="eastAsia"/>
                <w:bCs/>
                <w:color w:val="000000"/>
                <w:u w:val="single"/>
              </w:rPr>
              <w:t>第一項第一款</w:t>
            </w:r>
            <w:r w:rsidRPr="00F75CF9">
              <w:rPr>
                <w:rFonts w:ascii="標楷體" w:eastAsia="標楷體" w:hAnsi="標楷體" w:hint="eastAsia"/>
                <w:bCs/>
                <w:color w:val="000000"/>
              </w:rPr>
              <w:t>糾正並限期改</w:t>
            </w:r>
            <w:r w:rsidRPr="00F75CF9">
              <w:rPr>
                <w:rFonts w:ascii="標楷體" w:eastAsia="標楷體" w:hAnsi="標楷體" w:hint="eastAsia"/>
                <w:bCs/>
                <w:color w:val="000000"/>
              </w:rPr>
              <w:lastRenderedPageBreak/>
              <w:t>善三次以上之處分。</w:t>
            </w:r>
          </w:p>
          <w:p w:rsidR="001B4BE8" w:rsidRPr="00022A72" w:rsidRDefault="001B4BE8" w:rsidP="009C1D08">
            <w:pPr>
              <w:adjustRightInd w:val="0"/>
              <w:snapToGrid w:val="0"/>
              <w:spacing w:line="360" w:lineRule="exact"/>
              <w:ind w:leftChars="50" w:left="631" w:rightChars="12" w:right="29" w:hangingChars="213" w:hanging="511"/>
              <w:jc w:val="both"/>
              <w:rPr>
                <w:rFonts w:ascii="標楷體" w:eastAsia="標楷體" w:hAnsi="標楷體"/>
                <w:bCs/>
                <w:color w:val="000000"/>
              </w:rPr>
            </w:pPr>
            <w:r w:rsidRPr="00F75CF9">
              <w:rPr>
                <w:rFonts w:ascii="標楷體" w:eastAsia="標楷體" w:hAnsi="標楷體" w:hint="eastAsia"/>
                <w:bCs/>
                <w:color w:val="000000"/>
              </w:rPr>
              <w:t>三、最近二年未曾受本法第一百零三條第二款至第五款、證券交易法第六十六條第二款至第四款、期貨交易法第一百條第一項第二款至第四款之處分或信託業法第四十四條</w:t>
            </w:r>
            <w:r w:rsidRPr="007C475A">
              <w:rPr>
                <w:rFonts w:ascii="標楷體" w:eastAsia="標楷體" w:hAnsi="標楷體" w:hint="eastAsia"/>
                <w:bCs/>
                <w:color w:val="000000"/>
              </w:rPr>
              <w:t>第一項第二款或第二項第一款或第二款</w:t>
            </w:r>
            <w:r w:rsidRPr="00F75CF9">
              <w:rPr>
                <w:rFonts w:ascii="標楷體" w:eastAsia="標楷體" w:hAnsi="標楷體" w:hint="eastAsia"/>
                <w:bCs/>
                <w:color w:val="000000"/>
              </w:rPr>
              <w:t>之處分。</w:t>
            </w:r>
          </w:p>
        </w:tc>
        <w:tc>
          <w:tcPr>
            <w:tcW w:w="2788" w:type="dxa"/>
            <w:shd w:val="clear" w:color="auto" w:fill="auto"/>
          </w:tcPr>
          <w:p w:rsidR="001B4BE8" w:rsidRDefault="001B4BE8" w:rsidP="009C1D08">
            <w:pPr>
              <w:ind w:leftChars="-19" w:left="-45" w:hanging="1"/>
              <w:jc w:val="both"/>
              <w:rPr>
                <w:rFonts w:eastAsia="標楷體"/>
                <w:color w:val="000000"/>
              </w:rPr>
            </w:pPr>
            <w:r>
              <w:rPr>
                <w:rFonts w:eastAsia="標楷體" w:hint="eastAsia"/>
                <w:color w:val="000000"/>
              </w:rPr>
              <w:lastRenderedPageBreak/>
              <w:t>參酌信託業法第四十四條規定，修正</w:t>
            </w:r>
            <w:r w:rsidRPr="00504C65">
              <w:rPr>
                <w:rFonts w:eastAsia="標楷體" w:hint="eastAsia"/>
                <w:color w:val="0000FF"/>
              </w:rPr>
              <w:t>本條</w:t>
            </w:r>
            <w:r>
              <w:rPr>
                <w:rFonts w:eastAsia="標楷體" w:hint="eastAsia"/>
                <w:color w:val="000000"/>
              </w:rPr>
              <w:t>第二款及第三款文字。</w:t>
            </w:r>
          </w:p>
          <w:p w:rsidR="001B4BE8" w:rsidRDefault="001B4BE8" w:rsidP="009C1D08">
            <w:pPr>
              <w:ind w:leftChars="-19" w:left="-45" w:hanging="1"/>
              <w:jc w:val="both"/>
              <w:rPr>
                <w:rFonts w:eastAsia="標楷體"/>
                <w:color w:val="000000"/>
              </w:rPr>
            </w:pPr>
          </w:p>
          <w:p w:rsidR="001B4BE8" w:rsidRPr="00504C65"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Default="001B4BE8" w:rsidP="009C1D08">
            <w:pPr>
              <w:ind w:leftChars="-19" w:left="-45" w:hanging="1"/>
              <w:jc w:val="both"/>
              <w:rPr>
                <w:rFonts w:eastAsia="標楷體"/>
                <w:color w:val="000000"/>
              </w:rPr>
            </w:pPr>
          </w:p>
          <w:p w:rsidR="001B4BE8" w:rsidRPr="00504C65" w:rsidRDefault="001B4BE8" w:rsidP="009C1D08">
            <w:pPr>
              <w:ind w:leftChars="-19" w:left="-45" w:hanging="1"/>
              <w:jc w:val="both"/>
              <w:rPr>
                <w:rFonts w:eastAsia="標楷體"/>
                <w:color w:val="0000FF"/>
              </w:rPr>
            </w:pPr>
          </w:p>
        </w:tc>
      </w:tr>
      <w:tr w:rsidR="001B4BE8" w:rsidRPr="004C59F3" w:rsidTr="009C1D08">
        <w:tc>
          <w:tcPr>
            <w:tcW w:w="2787" w:type="dxa"/>
            <w:tcBorders>
              <w:top w:val="single" w:sz="4" w:space="0" w:color="auto"/>
              <w:left w:val="single" w:sz="4" w:space="0" w:color="auto"/>
              <w:bottom w:val="single" w:sz="4" w:space="0" w:color="auto"/>
              <w:right w:val="single" w:sz="4" w:space="0" w:color="auto"/>
            </w:tcBorders>
            <w:shd w:val="clear" w:color="auto" w:fill="auto"/>
          </w:tcPr>
          <w:p w:rsidR="001B4BE8" w:rsidRPr="00DC7AB9" w:rsidRDefault="001B4BE8" w:rsidP="009C1D08">
            <w:pPr>
              <w:adjustRightInd w:val="0"/>
              <w:snapToGrid w:val="0"/>
              <w:spacing w:line="360" w:lineRule="exact"/>
              <w:ind w:left="312" w:rightChars="12" w:right="29" w:hangingChars="130" w:hanging="312"/>
              <w:jc w:val="both"/>
              <w:rPr>
                <w:rFonts w:ascii="標楷體" w:eastAsia="標楷體" w:hAnsi="標楷體"/>
                <w:color w:val="000000"/>
              </w:rPr>
            </w:pPr>
            <w:r w:rsidRPr="00DC7AB9">
              <w:rPr>
                <w:rFonts w:ascii="標楷體" w:eastAsia="標楷體" w:hAnsi="標楷體" w:hint="eastAsia"/>
                <w:color w:val="000000"/>
              </w:rPr>
              <w:lastRenderedPageBreak/>
              <w:t>第四十五條 證券投資信託事業符合下列條件者，得申請設立分支機構</w:t>
            </w:r>
            <w:r w:rsidRPr="009F7A8A">
              <w:rPr>
                <w:rFonts w:ascii="標楷體" w:eastAsia="標楷體" w:hAnsi="標楷體" w:hint="eastAsia"/>
                <w:color w:val="000000"/>
              </w:rPr>
              <w:t>：</w:t>
            </w:r>
          </w:p>
          <w:p w:rsidR="001B4BE8" w:rsidRPr="00DC7AB9" w:rsidRDefault="001B4BE8" w:rsidP="009C1D08">
            <w:pPr>
              <w:adjustRightInd w:val="0"/>
              <w:snapToGrid w:val="0"/>
              <w:spacing w:line="360" w:lineRule="exact"/>
              <w:ind w:left="614" w:rightChars="12" w:right="29" w:hangingChars="256" w:hanging="614"/>
              <w:jc w:val="both"/>
              <w:rPr>
                <w:rFonts w:ascii="標楷體" w:eastAsia="標楷體" w:hAnsi="標楷體"/>
                <w:color w:val="000000"/>
              </w:rPr>
            </w:pPr>
            <w:r>
              <w:rPr>
                <w:rFonts w:ascii="標楷體" w:eastAsia="標楷體" w:hAnsi="標楷體" w:hint="eastAsia"/>
                <w:color w:val="000000"/>
              </w:rPr>
              <w:t xml:space="preserve">　</w:t>
            </w:r>
            <w:r w:rsidRPr="00DC7AB9">
              <w:rPr>
                <w:rFonts w:ascii="標楷體" w:eastAsia="標楷體" w:hAnsi="標楷體" w:hint="eastAsia"/>
                <w:color w:val="000000"/>
              </w:rPr>
              <w:t>一、營業滿一年。但因</w:t>
            </w:r>
            <w:r>
              <w:rPr>
                <w:rFonts w:ascii="標楷體" w:eastAsia="標楷體" w:hAnsi="標楷體" w:hint="eastAsia"/>
                <w:color w:val="000000"/>
              </w:rPr>
              <w:t xml:space="preserve">　　</w:t>
            </w:r>
            <w:r w:rsidRPr="00DC7AB9">
              <w:rPr>
                <w:rFonts w:ascii="標楷體" w:eastAsia="標楷體" w:hAnsi="標楷體" w:hint="eastAsia"/>
                <w:color w:val="000000"/>
              </w:rPr>
              <w:t>合併或受讓而設置分支機構，不在此限。</w:t>
            </w:r>
          </w:p>
          <w:p w:rsidR="001B4BE8" w:rsidRPr="00DC7AB9" w:rsidRDefault="001B4BE8" w:rsidP="009C1D08">
            <w:pPr>
              <w:adjustRightInd w:val="0"/>
              <w:snapToGrid w:val="0"/>
              <w:spacing w:line="360" w:lineRule="exact"/>
              <w:ind w:leftChars="-1" w:left="612" w:rightChars="12" w:right="29" w:hangingChars="256" w:hanging="614"/>
              <w:jc w:val="both"/>
              <w:rPr>
                <w:rFonts w:ascii="標楷體" w:eastAsia="標楷體" w:hAnsi="標楷體"/>
                <w:color w:val="000000"/>
              </w:rPr>
            </w:pPr>
            <w:r>
              <w:rPr>
                <w:rFonts w:ascii="標楷體" w:eastAsia="標楷體" w:hAnsi="標楷體" w:hint="eastAsia"/>
                <w:color w:val="000000"/>
              </w:rPr>
              <w:t xml:space="preserve">　</w:t>
            </w:r>
            <w:r w:rsidRPr="00DC7AB9">
              <w:rPr>
                <w:rFonts w:ascii="標楷體" w:eastAsia="標楷體" w:hAnsi="標楷體" w:hint="eastAsia"/>
                <w:color w:val="000000"/>
              </w:rPr>
              <w:t>二、最近期經會計師查</w:t>
            </w:r>
            <w:r>
              <w:rPr>
                <w:rFonts w:ascii="標楷體" w:eastAsia="標楷體" w:hAnsi="標楷體" w:hint="eastAsia"/>
                <w:color w:val="000000"/>
              </w:rPr>
              <w:t xml:space="preserve">　　</w:t>
            </w:r>
            <w:r w:rsidRPr="00DC7AB9">
              <w:rPr>
                <w:rFonts w:ascii="標楷體" w:eastAsia="標楷體" w:hAnsi="標楷體" w:hint="eastAsia"/>
                <w:color w:val="000000"/>
              </w:rPr>
              <w:t>核簽證之財務報告，每股淨值不低於面額。</w:t>
            </w:r>
          </w:p>
          <w:p w:rsidR="001B4BE8" w:rsidRPr="00DC7AB9" w:rsidRDefault="001B4BE8" w:rsidP="009C1D08">
            <w:pPr>
              <w:adjustRightInd w:val="0"/>
              <w:snapToGrid w:val="0"/>
              <w:spacing w:line="360" w:lineRule="exact"/>
              <w:ind w:left="614" w:rightChars="12" w:right="29" w:hangingChars="256" w:hanging="614"/>
              <w:jc w:val="both"/>
              <w:rPr>
                <w:rFonts w:ascii="標楷體" w:eastAsia="標楷體" w:hAnsi="標楷體"/>
                <w:color w:val="000000"/>
              </w:rPr>
            </w:pPr>
            <w:r>
              <w:rPr>
                <w:rFonts w:ascii="標楷體" w:eastAsia="標楷體" w:hAnsi="標楷體" w:hint="eastAsia"/>
                <w:color w:val="000000"/>
              </w:rPr>
              <w:t xml:space="preserve">　</w:t>
            </w:r>
            <w:r w:rsidRPr="00DC7AB9">
              <w:rPr>
                <w:rFonts w:ascii="標楷體" w:eastAsia="標楷體" w:hAnsi="標楷體" w:hint="eastAsia"/>
                <w:color w:val="000000"/>
              </w:rPr>
              <w:t>三、最近三個月未曾受</w:t>
            </w:r>
            <w:r>
              <w:rPr>
                <w:rFonts w:ascii="標楷體" w:eastAsia="標楷體" w:hAnsi="標楷體" w:hint="eastAsia"/>
                <w:color w:val="000000"/>
              </w:rPr>
              <w:t xml:space="preserve">　　</w:t>
            </w:r>
            <w:r w:rsidRPr="00DC7AB9">
              <w:rPr>
                <w:rFonts w:ascii="標楷體" w:eastAsia="標楷體" w:hAnsi="標楷體" w:hint="eastAsia"/>
                <w:color w:val="000000"/>
              </w:rPr>
              <w:t>本法第一百零三條第一款或證券交易法第六十六條第一款之處分。</w:t>
            </w:r>
          </w:p>
          <w:p w:rsidR="001B4BE8" w:rsidRPr="00DC7AB9" w:rsidRDefault="001B4BE8" w:rsidP="009C1D08">
            <w:pPr>
              <w:adjustRightInd w:val="0"/>
              <w:snapToGrid w:val="0"/>
              <w:spacing w:line="360" w:lineRule="exact"/>
              <w:ind w:left="614" w:rightChars="12" w:right="29" w:hangingChars="256" w:hanging="614"/>
              <w:jc w:val="both"/>
              <w:rPr>
                <w:rFonts w:ascii="標楷體" w:eastAsia="標楷體" w:hAnsi="標楷體"/>
                <w:color w:val="000000"/>
              </w:rPr>
            </w:pPr>
            <w:r>
              <w:rPr>
                <w:rFonts w:ascii="標楷體" w:eastAsia="標楷體" w:hAnsi="標楷體" w:hint="eastAsia"/>
                <w:color w:val="000000"/>
              </w:rPr>
              <w:t xml:space="preserve">　</w:t>
            </w:r>
            <w:r w:rsidRPr="00DC7AB9">
              <w:rPr>
                <w:rFonts w:ascii="標楷體" w:eastAsia="標楷體" w:hAnsi="標楷體" w:hint="eastAsia"/>
                <w:color w:val="000000"/>
              </w:rPr>
              <w:t>四、最近半年未曾受本</w:t>
            </w:r>
            <w:r>
              <w:rPr>
                <w:rFonts w:ascii="標楷體" w:eastAsia="標楷體" w:hAnsi="標楷體" w:hint="eastAsia"/>
                <w:color w:val="000000"/>
              </w:rPr>
              <w:t xml:space="preserve">　</w:t>
            </w:r>
            <w:r w:rsidRPr="00DC7AB9">
              <w:rPr>
                <w:rFonts w:ascii="標楷體" w:eastAsia="標楷體" w:hAnsi="標楷體" w:hint="eastAsia"/>
                <w:color w:val="000000"/>
              </w:rPr>
              <w:t>法第一百零三條第二款、第三款或證券交易法第六十六條第二款之處分。</w:t>
            </w:r>
          </w:p>
          <w:p w:rsidR="001B4BE8" w:rsidRPr="00DC7AB9" w:rsidRDefault="001B4BE8" w:rsidP="009C1D08">
            <w:pPr>
              <w:adjustRightInd w:val="0"/>
              <w:snapToGrid w:val="0"/>
              <w:spacing w:line="360" w:lineRule="exact"/>
              <w:ind w:left="614" w:rightChars="12" w:right="29" w:hangingChars="256" w:hanging="614"/>
              <w:jc w:val="both"/>
              <w:rPr>
                <w:rFonts w:ascii="標楷體" w:eastAsia="標楷體" w:hAnsi="標楷體"/>
                <w:color w:val="000000"/>
              </w:rPr>
            </w:pPr>
            <w:r>
              <w:rPr>
                <w:rFonts w:ascii="標楷體" w:eastAsia="標楷體" w:hAnsi="標楷體" w:hint="eastAsia"/>
                <w:color w:val="000000"/>
              </w:rPr>
              <w:t xml:space="preserve">　</w:t>
            </w:r>
            <w:r w:rsidRPr="00DC7AB9">
              <w:rPr>
                <w:rFonts w:ascii="標楷體" w:eastAsia="標楷體" w:hAnsi="標楷體" w:hint="eastAsia"/>
                <w:color w:val="000000"/>
              </w:rPr>
              <w:t>五、最近一年未曾受本</w:t>
            </w:r>
            <w:r w:rsidRPr="00DC7AB9">
              <w:rPr>
                <w:rFonts w:ascii="標楷體" w:eastAsia="標楷體" w:hAnsi="標楷體" w:hint="eastAsia"/>
                <w:color w:val="000000"/>
              </w:rPr>
              <w:lastRenderedPageBreak/>
              <w:t>法第一百零三條第四款或證券交易法第六十六條第三款之處分。</w:t>
            </w:r>
          </w:p>
          <w:p w:rsidR="001B4BE8" w:rsidRPr="00DC7AB9" w:rsidRDefault="001B4BE8" w:rsidP="009C1D08">
            <w:pPr>
              <w:adjustRightInd w:val="0"/>
              <w:snapToGrid w:val="0"/>
              <w:spacing w:line="360" w:lineRule="exact"/>
              <w:ind w:left="614" w:rightChars="12" w:right="29" w:hangingChars="256" w:hanging="614"/>
              <w:jc w:val="both"/>
              <w:rPr>
                <w:rFonts w:ascii="標楷體" w:eastAsia="標楷體" w:hAnsi="標楷體"/>
                <w:color w:val="000000"/>
              </w:rPr>
            </w:pPr>
            <w:r>
              <w:rPr>
                <w:rFonts w:ascii="標楷體" w:eastAsia="標楷體" w:hAnsi="標楷體" w:hint="eastAsia"/>
                <w:color w:val="000000"/>
              </w:rPr>
              <w:t xml:space="preserve">　</w:t>
            </w:r>
            <w:r w:rsidRPr="00DC7AB9">
              <w:rPr>
                <w:rFonts w:ascii="標楷體" w:eastAsia="標楷體" w:hAnsi="標楷體" w:hint="eastAsia"/>
                <w:color w:val="000000"/>
              </w:rPr>
              <w:t>六、最近二年未曾受本法第一百零三條第五款或證券交易法第六十六條第四款之處分。</w:t>
            </w:r>
          </w:p>
          <w:p w:rsidR="001B4BE8" w:rsidRPr="00DC7AB9" w:rsidRDefault="001B4BE8" w:rsidP="009C1D08">
            <w:pPr>
              <w:adjustRightInd w:val="0"/>
              <w:snapToGrid w:val="0"/>
              <w:spacing w:line="360" w:lineRule="exact"/>
              <w:ind w:left="271" w:rightChars="12" w:right="29" w:hangingChars="113" w:hanging="271"/>
              <w:jc w:val="both"/>
              <w:rPr>
                <w:rFonts w:ascii="標楷體" w:eastAsia="標楷體" w:hAnsi="標楷體"/>
                <w:color w:val="000000"/>
              </w:rPr>
            </w:pPr>
            <w:r>
              <w:rPr>
                <w:rFonts w:ascii="標楷體" w:eastAsia="標楷體" w:hAnsi="標楷體" w:hint="eastAsia"/>
                <w:color w:val="000000"/>
              </w:rPr>
              <w:t xml:space="preserve">　　　</w:t>
            </w:r>
            <w:r w:rsidRPr="00DC7AB9">
              <w:rPr>
                <w:rFonts w:ascii="標楷體" w:eastAsia="標楷體" w:hAnsi="標楷體" w:hint="eastAsia"/>
                <w:color w:val="000000"/>
              </w:rPr>
              <w:t>證券投資信託事業</w:t>
            </w:r>
            <w:r w:rsidRPr="009F7A8A">
              <w:rPr>
                <w:rFonts w:ascii="標楷體" w:eastAsia="標楷體" w:hAnsi="標楷體" w:hint="eastAsia"/>
                <w:color w:val="000000"/>
                <w:u w:val="single"/>
              </w:rPr>
              <w:t>不符</w:t>
            </w:r>
            <w:r w:rsidRPr="00DC7AB9">
              <w:rPr>
                <w:rFonts w:ascii="標楷體" w:eastAsia="標楷體" w:hAnsi="標楷體" w:hint="eastAsia"/>
                <w:color w:val="000000"/>
              </w:rPr>
              <w:t>前項第三款至第六款之</w:t>
            </w:r>
            <w:r w:rsidRPr="00DB5EE8">
              <w:rPr>
                <w:rFonts w:ascii="標楷體" w:eastAsia="標楷體" w:hAnsi="標楷體" w:hint="eastAsia"/>
                <w:color w:val="000000"/>
                <w:u w:val="single"/>
              </w:rPr>
              <w:t>條件</w:t>
            </w:r>
            <w:r w:rsidRPr="00DB5EE8">
              <w:rPr>
                <w:rFonts w:ascii="標楷體" w:eastAsia="標楷體" w:hAnsi="標楷體" w:hint="eastAsia"/>
                <w:color w:val="000000"/>
              </w:rPr>
              <w:t>，</w:t>
            </w:r>
            <w:r w:rsidRPr="009F7A8A">
              <w:rPr>
                <w:rFonts w:ascii="標楷體" w:eastAsia="標楷體" w:hAnsi="標楷體" w:hint="eastAsia"/>
                <w:color w:val="000000"/>
                <w:u w:val="single"/>
              </w:rPr>
              <w:t>但其情事已</w:t>
            </w:r>
            <w:r w:rsidRPr="00DB5EE8">
              <w:rPr>
                <w:rFonts w:ascii="標楷體" w:eastAsia="標楷體" w:hAnsi="標楷體" w:hint="eastAsia"/>
                <w:color w:val="000000"/>
              </w:rPr>
              <w:t>具體改善，</w:t>
            </w:r>
            <w:r w:rsidRPr="009F7A8A">
              <w:rPr>
                <w:rFonts w:ascii="標楷體" w:eastAsia="標楷體" w:hAnsi="標楷體" w:hint="eastAsia"/>
                <w:color w:val="000000"/>
                <w:u w:val="single"/>
              </w:rPr>
              <w:t>並經</w:t>
            </w:r>
            <w:r w:rsidRPr="00DB5EE8">
              <w:rPr>
                <w:rFonts w:ascii="標楷體" w:eastAsia="標楷體" w:hAnsi="標楷體" w:hint="eastAsia"/>
                <w:color w:val="000000"/>
              </w:rPr>
              <w:t>本會</w:t>
            </w:r>
            <w:r w:rsidRPr="009F7A8A">
              <w:rPr>
                <w:rFonts w:ascii="標楷體" w:eastAsia="標楷體" w:hAnsi="標楷體" w:hint="eastAsia"/>
                <w:color w:val="000000"/>
                <w:u w:val="single"/>
              </w:rPr>
              <w:t>認可，</w:t>
            </w:r>
            <w:r w:rsidRPr="00DB5EE8">
              <w:rPr>
                <w:rFonts w:ascii="標楷體" w:eastAsia="標楷體" w:hAnsi="標楷體" w:hint="eastAsia"/>
                <w:color w:val="000000"/>
              </w:rPr>
              <w:t>得不</w:t>
            </w:r>
            <w:r w:rsidRPr="009F7A8A">
              <w:rPr>
                <w:rFonts w:ascii="標楷體" w:eastAsia="標楷體" w:hAnsi="標楷體" w:hint="eastAsia"/>
                <w:color w:val="000000"/>
                <w:u w:val="single"/>
              </w:rPr>
              <w:t>受其限制</w:t>
            </w:r>
            <w:r w:rsidRPr="00DB5EE8">
              <w:rPr>
                <w:rFonts w:ascii="標楷體" w:eastAsia="標楷體" w:hAnsi="標楷體" w:hint="eastAsia"/>
                <w:color w:val="000000"/>
              </w:rPr>
              <w:t>。</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1B4BE8" w:rsidRPr="00DC7AB9" w:rsidRDefault="001B4BE8" w:rsidP="009C1D08">
            <w:pPr>
              <w:adjustRightInd w:val="0"/>
              <w:snapToGrid w:val="0"/>
              <w:spacing w:line="360" w:lineRule="exact"/>
              <w:ind w:left="271" w:rightChars="12" w:right="29" w:hangingChars="113" w:hanging="271"/>
              <w:jc w:val="both"/>
              <w:rPr>
                <w:rFonts w:ascii="標楷體" w:eastAsia="標楷體" w:hAnsi="標楷體"/>
                <w:bCs/>
                <w:color w:val="000000"/>
              </w:rPr>
            </w:pPr>
            <w:r w:rsidRPr="00DC7AB9">
              <w:rPr>
                <w:rFonts w:ascii="標楷體" w:eastAsia="標楷體" w:hAnsi="標楷體" w:hint="eastAsia"/>
                <w:bCs/>
                <w:color w:val="000000"/>
              </w:rPr>
              <w:lastRenderedPageBreak/>
              <w:t>第四十五條 證券投資信託事業符合下列條件者，得申請設立分支機構：</w:t>
            </w:r>
          </w:p>
          <w:p w:rsidR="001B4BE8" w:rsidRPr="00DC7AB9" w:rsidRDefault="001B4BE8" w:rsidP="009C1D08">
            <w:pPr>
              <w:adjustRightInd w:val="0"/>
              <w:snapToGrid w:val="0"/>
              <w:spacing w:line="360" w:lineRule="exact"/>
              <w:ind w:left="614" w:rightChars="12" w:right="29" w:hangingChars="256" w:hanging="614"/>
              <w:jc w:val="both"/>
              <w:rPr>
                <w:rFonts w:ascii="標楷體" w:eastAsia="標楷體" w:hAnsi="標楷體"/>
                <w:bCs/>
                <w:color w:val="000000"/>
              </w:rPr>
            </w:pPr>
            <w:r>
              <w:rPr>
                <w:rFonts w:ascii="標楷體" w:eastAsia="標楷體" w:hAnsi="標楷體" w:hint="eastAsia"/>
                <w:bCs/>
                <w:color w:val="000000"/>
              </w:rPr>
              <w:t xml:space="preserve">　</w:t>
            </w:r>
            <w:r w:rsidRPr="00DC7AB9">
              <w:rPr>
                <w:rFonts w:ascii="標楷體" w:eastAsia="標楷體" w:hAnsi="標楷體" w:hint="eastAsia"/>
                <w:bCs/>
                <w:color w:val="000000"/>
              </w:rPr>
              <w:t>一、營業滿一年。但因</w:t>
            </w:r>
            <w:r>
              <w:rPr>
                <w:rFonts w:ascii="標楷體" w:eastAsia="標楷體" w:hAnsi="標楷體" w:hint="eastAsia"/>
                <w:bCs/>
                <w:color w:val="000000"/>
              </w:rPr>
              <w:t xml:space="preserve">　</w:t>
            </w:r>
            <w:r w:rsidRPr="00DC7AB9">
              <w:rPr>
                <w:rFonts w:ascii="標楷體" w:eastAsia="標楷體" w:hAnsi="標楷體" w:hint="eastAsia"/>
                <w:bCs/>
                <w:color w:val="000000"/>
              </w:rPr>
              <w:t>合併或受讓而設置分支機構，不在此限。</w:t>
            </w:r>
          </w:p>
          <w:p w:rsidR="001B4BE8" w:rsidRPr="00DC7AB9" w:rsidRDefault="001B4BE8" w:rsidP="009C1D08">
            <w:pPr>
              <w:adjustRightInd w:val="0"/>
              <w:snapToGrid w:val="0"/>
              <w:spacing w:line="360" w:lineRule="exact"/>
              <w:ind w:leftChars="79" w:left="615" w:rightChars="12" w:right="29" w:hangingChars="177" w:hanging="425"/>
              <w:jc w:val="both"/>
              <w:rPr>
                <w:rFonts w:ascii="標楷體" w:eastAsia="標楷體" w:hAnsi="標楷體"/>
                <w:bCs/>
                <w:color w:val="000000"/>
              </w:rPr>
            </w:pPr>
            <w:r w:rsidRPr="00DC7AB9">
              <w:rPr>
                <w:rFonts w:ascii="標楷體" w:eastAsia="標楷體" w:hAnsi="標楷體" w:hint="eastAsia"/>
                <w:bCs/>
                <w:color w:val="000000"/>
              </w:rPr>
              <w:t>二、最近期經會計師查核簽證之財務報告，每股淨值不低於面額。</w:t>
            </w:r>
          </w:p>
          <w:p w:rsidR="001B4BE8" w:rsidRPr="00DC7AB9" w:rsidRDefault="001B4BE8" w:rsidP="009C1D08">
            <w:pPr>
              <w:adjustRightInd w:val="0"/>
              <w:snapToGrid w:val="0"/>
              <w:spacing w:line="360" w:lineRule="exact"/>
              <w:ind w:leftChars="-39" w:left="614" w:rightChars="12" w:right="29" w:hangingChars="295" w:hanging="708"/>
              <w:jc w:val="both"/>
              <w:rPr>
                <w:rFonts w:ascii="標楷體" w:eastAsia="標楷體" w:hAnsi="標楷體"/>
                <w:bCs/>
                <w:color w:val="000000"/>
              </w:rPr>
            </w:pPr>
            <w:r>
              <w:rPr>
                <w:rFonts w:ascii="標楷體" w:eastAsia="標楷體" w:hAnsi="標楷體" w:hint="eastAsia"/>
                <w:bCs/>
                <w:color w:val="000000"/>
              </w:rPr>
              <w:t xml:space="preserve">　</w:t>
            </w:r>
            <w:r w:rsidRPr="00DC7AB9">
              <w:rPr>
                <w:rFonts w:ascii="標楷體" w:eastAsia="標楷體" w:hAnsi="標楷體" w:hint="eastAsia"/>
                <w:bCs/>
                <w:color w:val="000000"/>
              </w:rPr>
              <w:t>三、最近三個月未曾受</w:t>
            </w:r>
            <w:r>
              <w:rPr>
                <w:rFonts w:ascii="標楷體" w:eastAsia="標楷體" w:hAnsi="標楷體" w:hint="eastAsia"/>
                <w:bCs/>
                <w:color w:val="000000"/>
              </w:rPr>
              <w:t xml:space="preserve">　</w:t>
            </w:r>
            <w:r w:rsidRPr="00DC7AB9">
              <w:rPr>
                <w:rFonts w:ascii="標楷體" w:eastAsia="標楷體" w:hAnsi="標楷體" w:hint="eastAsia"/>
                <w:bCs/>
                <w:color w:val="000000"/>
              </w:rPr>
              <w:t>本法第一百零三條第一款或證券交易法第六十六條第一款之處分。</w:t>
            </w:r>
          </w:p>
          <w:p w:rsidR="001B4BE8" w:rsidRPr="00DC7AB9" w:rsidRDefault="001B4BE8" w:rsidP="009C1D08">
            <w:pPr>
              <w:adjustRightInd w:val="0"/>
              <w:snapToGrid w:val="0"/>
              <w:spacing w:line="360" w:lineRule="exact"/>
              <w:ind w:leftChars="20" w:left="614" w:rightChars="12" w:right="29" w:hangingChars="236" w:hanging="566"/>
              <w:jc w:val="both"/>
              <w:rPr>
                <w:rFonts w:ascii="標楷體" w:eastAsia="標楷體" w:hAnsi="標楷體"/>
                <w:bCs/>
                <w:color w:val="000000"/>
              </w:rPr>
            </w:pPr>
            <w:r w:rsidRPr="00DC7AB9">
              <w:rPr>
                <w:rFonts w:ascii="標楷體" w:eastAsia="標楷體" w:hAnsi="標楷體" w:hint="eastAsia"/>
                <w:bCs/>
                <w:color w:val="000000"/>
              </w:rPr>
              <w:t>四、最近半年未曾受本</w:t>
            </w:r>
            <w:r>
              <w:rPr>
                <w:rFonts w:ascii="標楷體" w:eastAsia="標楷體" w:hAnsi="標楷體" w:hint="eastAsia"/>
                <w:bCs/>
                <w:color w:val="000000"/>
              </w:rPr>
              <w:t xml:space="preserve">　</w:t>
            </w:r>
            <w:r w:rsidRPr="00DC7AB9">
              <w:rPr>
                <w:rFonts w:ascii="標楷體" w:eastAsia="標楷體" w:hAnsi="標楷體" w:hint="eastAsia"/>
                <w:bCs/>
                <w:color w:val="000000"/>
              </w:rPr>
              <w:t>法第一百零三條第二款、第三款或證券交易法第六十六條第二款之處分。</w:t>
            </w:r>
          </w:p>
          <w:p w:rsidR="001B4BE8" w:rsidRPr="00DC7AB9" w:rsidRDefault="001B4BE8" w:rsidP="009C1D08">
            <w:pPr>
              <w:adjustRightInd w:val="0"/>
              <w:snapToGrid w:val="0"/>
              <w:spacing w:line="360" w:lineRule="exact"/>
              <w:ind w:left="614" w:rightChars="12" w:right="29" w:hangingChars="256" w:hanging="614"/>
              <w:jc w:val="both"/>
              <w:rPr>
                <w:rFonts w:ascii="標楷體" w:eastAsia="標楷體" w:hAnsi="標楷體"/>
                <w:bCs/>
                <w:color w:val="000000"/>
              </w:rPr>
            </w:pPr>
            <w:r>
              <w:rPr>
                <w:rFonts w:ascii="標楷體" w:eastAsia="標楷體" w:hAnsi="標楷體" w:hint="eastAsia"/>
                <w:bCs/>
                <w:color w:val="000000"/>
              </w:rPr>
              <w:t xml:space="preserve">　</w:t>
            </w:r>
            <w:r w:rsidRPr="00DC7AB9">
              <w:rPr>
                <w:rFonts w:ascii="標楷體" w:eastAsia="標楷體" w:hAnsi="標楷體" w:hint="eastAsia"/>
                <w:bCs/>
                <w:color w:val="000000"/>
              </w:rPr>
              <w:t>五、最近一年未曾受本</w:t>
            </w:r>
            <w:r>
              <w:rPr>
                <w:rFonts w:ascii="標楷體" w:eastAsia="標楷體" w:hAnsi="標楷體" w:hint="eastAsia"/>
                <w:bCs/>
                <w:color w:val="000000"/>
              </w:rPr>
              <w:t xml:space="preserve">　</w:t>
            </w:r>
            <w:r w:rsidRPr="00DC7AB9">
              <w:rPr>
                <w:rFonts w:ascii="標楷體" w:eastAsia="標楷體" w:hAnsi="標楷體" w:hint="eastAsia"/>
                <w:bCs/>
                <w:color w:val="000000"/>
              </w:rPr>
              <w:lastRenderedPageBreak/>
              <w:t>法第一百零三條第四款或證券交易法第六十六條第三款之處分。</w:t>
            </w:r>
          </w:p>
          <w:p w:rsidR="001B4BE8" w:rsidRPr="00DC7AB9" w:rsidRDefault="001B4BE8" w:rsidP="009C1D08">
            <w:pPr>
              <w:adjustRightInd w:val="0"/>
              <w:snapToGrid w:val="0"/>
              <w:spacing w:line="360" w:lineRule="exact"/>
              <w:ind w:leftChars="79" w:left="615" w:rightChars="12" w:right="29" w:hangingChars="177" w:hanging="425"/>
              <w:jc w:val="both"/>
              <w:rPr>
                <w:rFonts w:ascii="標楷體" w:eastAsia="標楷體" w:hAnsi="標楷體"/>
                <w:bCs/>
                <w:color w:val="000000"/>
              </w:rPr>
            </w:pPr>
            <w:r w:rsidRPr="00DC7AB9">
              <w:rPr>
                <w:rFonts w:ascii="標楷體" w:eastAsia="標楷體" w:hAnsi="標楷體" w:hint="eastAsia"/>
                <w:bCs/>
                <w:color w:val="000000"/>
              </w:rPr>
              <w:t>六、最近二年未曾受本法第一百零三條第五款或證券交易法第六十六條第四款之處分。</w:t>
            </w:r>
          </w:p>
          <w:p w:rsidR="001B4BE8" w:rsidRPr="009F7A8A" w:rsidRDefault="001B4BE8" w:rsidP="009C1D08">
            <w:pPr>
              <w:adjustRightInd w:val="0"/>
              <w:snapToGrid w:val="0"/>
              <w:spacing w:line="360" w:lineRule="exact"/>
              <w:ind w:left="271" w:rightChars="12" w:right="29" w:hangingChars="113" w:hanging="271"/>
              <w:jc w:val="both"/>
              <w:rPr>
                <w:rFonts w:ascii="標楷體" w:eastAsia="標楷體" w:hAnsi="標楷體"/>
                <w:bCs/>
                <w:color w:val="000000"/>
                <w:u w:val="single"/>
              </w:rPr>
            </w:pPr>
            <w:r>
              <w:rPr>
                <w:rFonts w:ascii="標楷體" w:eastAsia="標楷體" w:hAnsi="標楷體" w:hint="eastAsia"/>
                <w:bCs/>
                <w:color w:val="000000"/>
              </w:rPr>
              <w:t xml:space="preserve">　　　</w:t>
            </w:r>
            <w:r w:rsidRPr="009F7A8A">
              <w:rPr>
                <w:rFonts w:ascii="標楷體" w:eastAsia="標楷體" w:hAnsi="標楷體" w:hint="eastAsia"/>
                <w:bCs/>
                <w:color w:val="000000"/>
              </w:rPr>
              <w:t>證券投資信託事業</w:t>
            </w:r>
            <w:r w:rsidRPr="00DB5EE8">
              <w:rPr>
                <w:rFonts w:ascii="標楷體" w:eastAsia="標楷體" w:hAnsi="標楷體" w:hint="eastAsia"/>
                <w:bCs/>
                <w:color w:val="000000"/>
              </w:rPr>
              <w:t>曾受前項第三款至第六款之處分，且命令其改善，於申請設立分支機構時仍未具體改善</w:t>
            </w:r>
            <w:r w:rsidRPr="009F7A8A">
              <w:rPr>
                <w:rFonts w:ascii="標楷體" w:eastAsia="標楷體" w:hAnsi="標楷體" w:hint="eastAsia"/>
                <w:bCs/>
                <w:color w:val="000000"/>
                <w:u w:val="single"/>
              </w:rPr>
              <w:t>者</w:t>
            </w:r>
            <w:r w:rsidRPr="00DB5EE8">
              <w:rPr>
                <w:rFonts w:ascii="標楷體" w:eastAsia="標楷體" w:hAnsi="標楷體" w:hint="eastAsia"/>
                <w:bCs/>
                <w:color w:val="000000"/>
              </w:rPr>
              <w:t>，本會得不</w:t>
            </w:r>
            <w:r w:rsidRPr="00364A5C">
              <w:rPr>
                <w:rFonts w:ascii="標楷體" w:eastAsia="標楷體" w:hAnsi="標楷體" w:hint="eastAsia"/>
                <w:bCs/>
                <w:color w:val="000000"/>
              </w:rPr>
              <w:t>許可其申請</w:t>
            </w:r>
            <w:r w:rsidRPr="00DB5EE8">
              <w:rPr>
                <w:rFonts w:ascii="標楷體" w:eastAsia="標楷體" w:hAnsi="標楷體" w:hint="eastAsia"/>
                <w:bCs/>
                <w:color w:val="000000"/>
              </w:rPr>
              <w:t>。</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1B4BE8" w:rsidRPr="00DC7AB9" w:rsidRDefault="001B4BE8" w:rsidP="009C1D08">
            <w:pPr>
              <w:ind w:leftChars="-19" w:left="-45" w:hanging="1"/>
              <w:jc w:val="both"/>
              <w:rPr>
                <w:rFonts w:eastAsia="標楷體"/>
                <w:color w:val="000000"/>
              </w:rPr>
            </w:pPr>
            <w:r w:rsidRPr="00DC7AB9">
              <w:rPr>
                <w:rFonts w:eastAsia="標楷體" w:hint="eastAsia"/>
                <w:color w:val="000000"/>
              </w:rPr>
              <w:lastRenderedPageBreak/>
              <w:t>考量處分係督導改善之手段而非目的，</w:t>
            </w:r>
            <w:proofErr w:type="gramStart"/>
            <w:r w:rsidRPr="00DC7AB9">
              <w:rPr>
                <w:rFonts w:eastAsia="標楷體" w:hint="eastAsia"/>
                <w:color w:val="000000"/>
              </w:rPr>
              <w:t>故受處分</w:t>
            </w:r>
            <w:proofErr w:type="gramEnd"/>
            <w:r>
              <w:rPr>
                <w:rFonts w:eastAsia="標楷體" w:hint="eastAsia"/>
                <w:color w:val="000000"/>
              </w:rPr>
              <w:t>之違規事由已確實改善並經金管</w:t>
            </w:r>
            <w:r w:rsidRPr="00DC7AB9">
              <w:rPr>
                <w:rFonts w:eastAsia="標楷體" w:hint="eastAsia"/>
                <w:color w:val="000000"/>
              </w:rPr>
              <w:t>會認可者，違規事實對其申請業務所造成之限制可予以放寬，</w:t>
            </w:r>
            <w:proofErr w:type="gramStart"/>
            <w:r w:rsidRPr="00DC7AB9">
              <w:rPr>
                <w:rFonts w:eastAsia="標楷體" w:hint="eastAsia"/>
                <w:color w:val="000000"/>
              </w:rPr>
              <w:t>爰</w:t>
            </w:r>
            <w:proofErr w:type="gramEnd"/>
            <w:r>
              <w:rPr>
                <w:rFonts w:eastAsia="標楷體" w:hint="eastAsia"/>
                <w:color w:val="000000"/>
              </w:rPr>
              <w:t>參酌證券商設置標準第二十五條之二第二項規定，修正</w:t>
            </w:r>
            <w:r w:rsidRPr="00504C65">
              <w:rPr>
                <w:rFonts w:eastAsia="標楷體" w:hint="eastAsia"/>
                <w:color w:val="0000FF"/>
              </w:rPr>
              <w:t>本條</w:t>
            </w:r>
            <w:r>
              <w:rPr>
                <w:rFonts w:eastAsia="標楷體" w:hint="eastAsia"/>
                <w:color w:val="000000"/>
              </w:rPr>
              <w:t>第二項規定</w:t>
            </w:r>
            <w:r w:rsidRPr="00DC7AB9">
              <w:rPr>
                <w:rFonts w:eastAsia="標楷體" w:hint="eastAsia"/>
                <w:color w:val="000000"/>
              </w:rPr>
              <w:t>。</w:t>
            </w:r>
          </w:p>
          <w:p w:rsidR="001B4BE8" w:rsidRPr="000646F7" w:rsidRDefault="001B4BE8" w:rsidP="009C1D08">
            <w:pPr>
              <w:ind w:leftChars="-19" w:left="-45" w:hanging="1"/>
              <w:jc w:val="both"/>
              <w:rPr>
                <w:rFonts w:eastAsia="標楷體"/>
                <w:color w:val="000000"/>
              </w:rPr>
            </w:pPr>
          </w:p>
        </w:tc>
      </w:tr>
    </w:tbl>
    <w:p w:rsidR="001B4BE8" w:rsidRPr="00195244" w:rsidRDefault="001B4BE8" w:rsidP="001B4BE8">
      <w:pPr>
        <w:spacing w:line="460" w:lineRule="exact"/>
        <w:ind w:rightChars="-163" w:right="-391"/>
        <w:rPr>
          <w:rFonts w:ascii="標楷體" w:eastAsia="標楷體" w:hAnsi="標楷體"/>
          <w:color w:val="000000"/>
        </w:rPr>
      </w:pPr>
    </w:p>
    <w:p w:rsidR="001B4BE8" w:rsidRDefault="001B4BE8" w:rsidP="001B4BE8">
      <w:pPr>
        <w:spacing w:line="460" w:lineRule="exact"/>
        <w:ind w:rightChars="-163" w:right="-391"/>
        <w:rPr>
          <w:rFonts w:ascii="標楷體" w:eastAsia="標楷體" w:hAnsi="標楷體"/>
          <w:color w:val="000000"/>
        </w:rPr>
      </w:pPr>
    </w:p>
    <w:p w:rsidR="001B4BE8" w:rsidRDefault="001B4BE8" w:rsidP="001B4BE8">
      <w:pPr>
        <w:spacing w:line="460" w:lineRule="exact"/>
        <w:ind w:rightChars="-163" w:right="-391"/>
        <w:rPr>
          <w:rFonts w:ascii="標楷體" w:eastAsia="標楷體" w:hAnsi="標楷體"/>
          <w:color w:val="000000"/>
        </w:rPr>
      </w:pPr>
    </w:p>
    <w:p w:rsidR="001B4BE8" w:rsidRDefault="001B4BE8" w:rsidP="001B4BE8">
      <w:pPr>
        <w:spacing w:line="460" w:lineRule="exact"/>
        <w:ind w:rightChars="-163" w:right="-391"/>
        <w:rPr>
          <w:rFonts w:ascii="標楷體" w:eastAsia="標楷體" w:hAnsi="標楷體"/>
          <w:color w:val="000000"/>
        </w:rPr>
      </w:pPr>
    </w:p>
    <w:p w:rsidR="001B4BE8" w:rsidRDefault="001B4BE8" w:rsidP="001B4BE8">
      <w:pPr>
        <w:spacing w:line="460" w:lineRule="exact"/>
        <w:ind w:rightChars="-163" w:right="-391"/>
        <w:rPr>
          <w:rFonts w:ascii="標楷體" w:eastAsia="標楷體" w:hAnsi="標楷體"/>
          <w:color w:val="000000"/>
        </w:rPr>
      </w:pPr>
    </w:p>
    <w:p w:rsidR="001B4BE8" w:rsidRDefault="001B4BE8" w:rsidP="001B4BE8">
      <w:pPr>
        <w:spacing w:line="460" w:lineRule="exact"/>
        <w:ind w:rightChars="-163" w:right="-391"/>
        <w:rPr>
          <w:rFonts w:ascii="標楷體" w:eastAsia="標楷體" w:hAnsi="標楷體"/>
          <w:color w:val="000000"/>
        </w:rPr>
      </w:pPr>
    </w:p>
    <w:p w:rsidR="001B4BE8" w:rsidRDefault="001B4BE8" w:rsidP="001B4BE8">
      <w:pPr>
        <w:spacing w:line="460" w:lineRule="exact"/>
        <w:ind w:rightChars="-163" w:right="-391"/>
        <w:rPr>
          <w:rFonts w:ascii="標楷體" w:eastAsia="標楷體" w:hAnsi="標楷體"/>
          <w:color w:val="000000"/>
        </w:rPr>
      </w:pPr>
    </w:p>
    <w:p w:rsidR="001B4BE8" w:rsidRDefault="001B4BE8" w:rsidP="001B4BE8">
      <w:pPr>
        <w:spacing w:line="460" w:lineRule="exact"/>
        <w:ind w:rightChars="-163" w:right="-391"/>
        <w:rPr>
          <w:rFonts w:ascii="標楷體" w:eastAsia="標楷體" w:hAnsi="標楷體"/>
          <w:color w:val="000000"/>
        </w:rPr>
      </w:pPr>
    </w:p>
    <w:p w:rsidR="001B4BE8" w:rsidRDefault="001B4BE8" w:rsidP="001B4BE8">
      <w:pPr>
        <w:spacing w:line="460" w:lineRule="exact"/>
        <w:ind w:rightChars="-163" w:right="-391"/>
        <w:rPr>
          <w:rFonts w:ascii="標楷體" w:eastAsia="標楷體" w:hAnsi="標楷體"/>
          <w:color w:val="000000"/>
        </w:rPr>
      </w:pPr>
    </w:p>
    <w:p w:rsidR="001B4BE8" w:rsidRDefault="001B4BE8" w:rsidP="001B4BE8">
      <w:pPr>
        <w:spacing w:line="460" w:lineRule="exact"/>
        <w:ind w:rightChars="-163" w:right="-391"/>
        <w:rPr>
          <w:rFonts w:ascii="標楷體" w:eastAsia="標楷體" w:hAnsi="標楷體"/>
          <w:color w:val="000000"/>
        </w:rPr>
      </w:pPr>
    </w:p>
    <w:p w:rsidR="001B4BE8" w:rsidRDefault="001B4BE8" w:rsidP="001B4BE8">
      <w:pPr>
        <w:spacing w:line="460" w:lineRule="exact"/>
        <w:ind w:rightChars="-163" w:right="-391"/>
        <w:rPr>
          <w:rFonts w:ascii="標楷體" w:eastAsia="標楷體" w:hAnsi="標楷體"/>
          <w:color w:val="000000"/>
        </w:rPr>
      </w:pPr>
    </w:p>
    <w:p w:rsidR="001B4BE8" w:rsidRDefault="001B4BE8" w:rsidP="001B4BE8">
      <w:pPr>
        <w:spacing w:line="460" w:lineRule="exact"/>
        <w:ind w:rightChars="-163" w:right="-391"/>
        <w:rPr>
          <w:rFonts w:ascii="標楷體" w:eastAsia="標楷體" w:hAnsi="標楷體"/>
          <w:color w:val="000000"/>
        </w:rPr>
      </w:pPr>
    </w:p>
    <w:p w:rsidR="009054CB" w:rsidRPr="001B4BE8" w:rsidRDefault="009054CB" w:rsidP="001B4BE8"/>
    <w:sectPr w:rsidR="009054CB" w:rsidRPr="001B4BE8">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D0" w:rsidRDefault="002358D0">
      <w:r>
        <w:separator/>
      </w:r>
    </w:p>
  </w:endnote>
  <w:endnote w:type="continuationSeparator" w:id="0">
    <w:p w:rsidR="002358D0" w:rsidRDefault="0023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D3" w:rsidRDefault="006625B3" w:rsidP="00DF54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58D3" w:rsidRDefault="002358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754150"/>
      <w:docPartObj>
        <w:docPartGallery w:val="Page Numbers (Bottom of Page)"/>
        <w:docPartUnique/>
      </w:docPartObj>
    </w:sdtPr>
    <w:sdtEndPr/>
    <w:sdtContent>
      <w:p w:rsidR="00841887" w:rsidRDefault="00841887">
        <w:pPr>
          <w:pStyle w:val="a3"/>
          <w:jc w:val="center"/>
        </w:pPr>
        <w:r>
          <w:fldChar w:fldCharType="begin"/>
        </w:r>
        <w:r>
          <w:instrText>PAGE   \* MERGEFORMAT</w:instrText>
        </w:r>
        <w:r>
          <w:fldChar w:fldCharType="separate"/>
        </w:r>
        <w:r w:rsidR="00D0132C" w:rsidRPr="00D0132C">
          <w:rPr>
            <w:noProof/>
            <w:lang w:val="zh-TW"/>
          </w:rPr>
          <w:t>3</w:t>
        </w:r>
        <w:r>
          <w:fldChar w:fldCharType="end"/>
        </w:r>
      </w:p>
    </w:sdtContent>
  </w:sdt>
  <w:p w:rsidR="00841887" w:rsidRDefault="008418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D0" w:rsidRDefault="002358D0">
      <w:r>
        <w:separator/>
      </w:r>
    </w:p>
  </w:footnote>
  <w:footnote w:type="continuationSeparator" w:id="0">
    <w:p w:rsidR="002358D0" w:rsidRDefault="00235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B3"/>
    <w:rsid w:val="000131EE"/>
    <w:rsid w:val="000B6599"/>
    <w:rsid w:val="000C4352"/>
    <w:rsid w:val="000D2AD6"/>
    <w:rsid w:val="00170E04"/>
    <w:rsid w:val="001A24FE"/>
    <w:rsid w:val="001B4BE8"/>
    <w:rsid w:val="002358D0"/>
    <w:rsid w:val="00237959"/>
    <w:rsid w:val="00302A75"/>
    <w:rsid w:val="003037AF"/>
    <w:rsid w:val="0030712C"/>
    <w:rsid w:val="00325B35"/>
    <w:rsid w:val="00360895"/>
    <w:rsid w:val="003640A8"/>
    <w:rsid w:val="00364A5C"/>
    <w:rsid w:val="004E14E2"/>
    <w:rsid w:val="005A4FF6"/>
    <w:rsid w:val="00613D93"/>
    <w:rsid w:val="00615862"/>
    <w:rsid w:val="006625B3"/>
    <w:rsid w:val="006967A0"/>
    <w:rsid w:val="007B4E53"/>
    <w:rsid w:val="007F2F49"/>
    <w:rsid w:val="007F39DD"/>
    <w:rsid w:val="00820FA6"/>
    <w:rsid w:val="00824890"/>
    <w:rsid w:val="00841887"/>
    <w:rsid w:val="008645CC"/>
    <w:rsid w:val="00876997"/>
    <w:rsid w:val="008B0EFB"/>
    <w:rsid w:val="008E3468"/>
    <w:rsid w:val="008F3EB7"/>
    <w:rsid w:val="009054CB"/>
    <w:rsid w:val="0097454C"/>
    <w:rsid w:val="009F7A8A"/>
    <w:rsid w:val="00A36EAA"/>
    <w:rsid w:val="00A46D05"/>
    <w:rsid w:val="00A576CA"/>
    <w:rsid w:val="00A62394"/>
    <w:rsid w:val="00A80072"/>
    <w:rsid w:val="00B26233"/>
    <w:rsid w:val="00B80A3E"/>
    <w:rsid w:val="00BA22AC"/>
    <w:rsid w:val="00BC6AAE"/>
    <w:rsid w:val="00BF6E80"/>
    <w:rsid w:val="00C7008A"/>
    <w:rsid w:val="00C833E3"/>
    <w:rsid w:val="00C872F3"/>
    <w:rsid w:val="00C90446"/>
    <w:rsid w:val="00C939C1"/>
    <w:rsid w:val="00C94D90"/>
    <w:rsid w:val="00CA3D27"/>
    <w:rsid w:val="00D0132C"/>
    <w:rsid w:val="00D447FC"/>
    <w:rsid w:val="00D71B89"/>
    <w:rsid w:val="00D96D64"/>
    <w:rsid w:val="00DB5905"/>
    <w:rsid w:val="00DB5EE8"/>
    <w:rsid w:val="00DC7AB9"/>
    <w:rsid w:val="00E24D97"/>
    <w:rsid w:val="00E5062C"/>
    <w:rsid w:val="00E5201A"/>
    <w:rsid w:val="00F1058F"/>
    <w:rsid w:val="00F65075"/>
    <w:rsid w:val="00F75CF9"/>
    <w:rsid w:val="00F83453"/>
    <w:rsid w:val="00FD3DFD"/>
    <w:rsid w:val="00FE6BB7"/>
    <w:rsid w:val="00FF1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B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25B3"/>
    <w:pPr>
      <w:tabs>
        <w:tab w:val="center" w:pos="4153"/>
        <w:tab w:val="right" w:pos="8306"/>
      </w:tabs>
      <w:snapToGrid w:val="0"/>
    </w:pPr>
    <w:rPr>
      <w:sz w:val="20"/>
      <w:szCs w:val="20"/>
    </w:rPr>
  </w:style>
  <w:style w:type="character" w:customStyle="1" w:styleId="a4">
    <w:name w:val="頁尾 字元"/>
    <w:basedOn w:val="a0"/>
    <w:link w:val="a3"/>
    <w:uiPriority w:val="99"/>
    <w:rsid w:val="006625B3"/>
    <w:rPr>
      <w:rFonts w:ascii="Times New Roman" w:eastAsia="新細明體" w:hAnsi="Times New Roman" w:cs="Times New Roman"/>
      <w:sz w:val="20"/>
      <w:szCs w:val="20"/>
    </w:rPr>
  </w:style>
  <w:style w:type="character" w:styleId="a5">
    <w:name w:val="page number"/>
    <w:basedOn w:val="a0"/>
    <w:rsid w:val="006625B3"/>
  </w:style>
  <w:style w:type="paragraph" w:styleId="a6">
    <w:name w:val="header"/>
    <w:basedOn w:val="a"/>
    <w:link w:val="a7"/>
    <w:uiPriority w:val="99"/>
    <w:unhideWhenUsed/>
    <w:rsid w:val="00BF6E80"/>
    <w:pPr>
      <w:tabs>
        <w:tab w:val="center" w:pos="4153"/>
        <w:tab w:val="right" w:pos="8306"/>
      </w:tabs>
      <w:snapToGrid w:val="0"/>
    </w:pPr>
    <w:rPr>
      <w:sz w:val="20"/>
      <w:szCs w:val="20"/>
    </w:rPr>
  </w:style>
  <w:style w:type="character" w:customStyle="1" w:styleId="a7">
    <w:name w:val="頁首 字元"/>
    <w:basedOn w:val="a0"/>
    <w:link w:val="a6"/>
    <w:uiPriority w:val="99"/>
    <w:rsid w:val="00BF6E80"/>
    <w:rPr>
      <w:rFonts w:ascii="Times New Roman" w:eastAsia="新細明體" w:hAnsi="Times New Roman" w:cs="Times New Roman"/>
      <w:sz w:val="20"/>
      <w:szCs w:val="20"/>
    </w:rPr>
  </w:style>
  <w:style w:type="paragraph" w:styleId="a8">
    <w:name w:val="Balloon Text"/>
    <w:basedOn w:val="a"/>
    <w:link w:val="a9"/>
    <w:uiPriority w:val="99"/>
    <w:semiHidden/>
    <w:unhideWhenUsed/>
    <w:rsid w:val="00A36EA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6E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B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25B3"/>
    <w:pPr>
      <w:tabs>
        <w:tab w:val="center" w:pos="4153"/>
        <w:tab w:val="right" w:pos="8306"/>
      </w:tabs>
      <w:snapToGrid w:val="0"/>
    </w:pPr>
    <w:rPr>
      <w:sz w:val="20"/>
      <w:szCs w:val="20"/>
    </w:rPr>
  </w:style>
  <w:style w:type="character" w:customStyle="1" w:styleId="a4">
    <w:name w:val="頁尾 字元"/>
    <w:basedOn w:val="a0"/>
    <w:link w:val="a3"/>
    <w:uiPriority w:val="99"/>
    <w:rsid w:val="006625B3"/>
    <w:rPr>
      <w:rFonts w:ascii="Times New Roman" w:eastAsia="新細明體" w:hAnsi="Times New Roman" w:cs="Times New Roman"/>
      <w:sz w:val="20"/>
      <w:szCs w:val="20"/>
    </w:rPr>
  </w:style>
  <w:style w:type="character" w:styleId="a5">
    <w:name w:val="page number"/>
    <w:basedOn w:val="a0"/>
    <w:rsid w:val="006625B3"/>
  </w:style>
  <w:style w:type="paragraph" w:styleId="a6">
    <w:name w:val="header"/>
    <w:basedOn w:val="a"/>
    <w:link w:val="a7"/>
    <w:uiPriority w:val="99"/>
    <w:unhideWhenUsed/>
    <w:rsid w:val="00BF6E80"/>
    <w:pPr>
      <w:tabs>
        <w:tab w:val="center" w:pos="4153"/>
        <w:tab w:val="right" w:pos="8306"/>
      </w:tabs>
      <w:snapToGrid w:val="0"/>
    </w:pPr>
    <w:rPr>
      <w:sz w:val="20"/>
      <w:szCs w:val="20"/>
    </w:rPr>
  </w:style>
  <w:style w:type="character" w:customStyle="1" w:styleId="a7">
    <w:name w:val="頁首 字元"/>
    <w:basedOn w:val="a0"/>
    <w:link w:val="a6"/>
    <w:uiPriority w:val="99"/>
    <w:rsid w:val="00BF6E80"/>
    <w:rPr>
      <w:rFonts w:ascii="Times New Roman" w:eastAsia="新細明體" w:hAnsi="Times New Roman" w:cs="Times New Roman"/>
      <w:sz w:val="20"/>
      <w:szCs w:val="20"/>
    </w:rPr>
  </w:style>
  <w:style w:type="paragraph" w:styleId="a8">
    <w:name w:val="Balloon Text"/>
    <w:basedOn w:val="a"/>
    <w:link w:val="a9"/>
    <w:uiPriority w:val="99"/>
    <w:semiHidden/>
    <w:unhideWhenUsed/>
    <w:rsid w:val="00A36EA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6E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高玉菁pfs</dc:creator>
  <cp:lastModifiedBy>曾煌鈞n85</cp:lastModifiedBy>
  <cp:revision>2</cp:revision>
  <cp:lastPrinted>2014-09-24T02:27:00Z</cp:lastPrinted>
  <dcterms:created xsi:type="dcterms:W3CDTF">2014-11-18T02:14:00Z</dcterms:created>
  <dcterms:modified xsi:type="dcterms:W3CDTF">2014-11-18T02:14:00Z</dcterms:modified>
</cp:coreProperties>
</file>