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A8" w:rsidRPr="00F84C0F" w:rsidRDefault="00D861A8" w:rsidP="00D861A8">
      <w:pPr>
        <w:spacing w:line="460" w:lineRule="exact"/>
        <w:ind w:rightChars="35" w:right="84"/>
        <w:rPr>
          <w:rFonts w:eastAsia="標楷體" w:hAnsi="標楷體"/>
          <w:color w:val="000000"/>
          <w:sz w:val="40"/>
          <w:szCs w:val="20"/>
        </w:rPr>
      </w:pPr>
      <w:r w:rsidRPr="00F84C0F">
        <w:rPr>
          <w:rFonts w:eastAsia="標楷體" w:hAnsi="標楷體"/>
          <w:color w:val="000000"/>
          <w:sz w:val="40"/>
          <w:szCs w:val="20"/>
        </w:rPr>
        <w:t>證券投資信託</w:t>
      </w:r>
      <w:r w:rsidRPr="00F84C0F">
        <w:rPr>
          <w:rFonts w:eastAsia="標楷體" w:hAnsi="標楷體" w:hint="eastAsia"/>
          <w:color w:val="000000"/>
          <w:sz w:val="40"/>
          <w:szCs w:val="20"/>
        </w:rPr>
        <w:t>事業管理規則</w:t>
      </w:r>
      <w:r w:rsidRPr="009744B6">
        <w:rPr>
          <w:rFonts w:eastAsia="標楷體" w:hAnsi="標楷體" w:hint="eastAsia"/>
          <w:color w:val="000000"/>
          <w:sz w:val="40"/>
          <w:szCs w:val="20"/>
        </w:rPr>
        <w:t>第三條、第二十四條之一</w:t>
      </w:r>
      <w:r>
        <w:rPr>
          <w:rFonts w:eastAsia="標楷體" w:hAnsi="標楷體" w:hint="eastAsia"/>
          <w:color w:val="000000"/>
          <w:sz w:val="40"/>
          <w:szCs w:val="20"/>
        </w:rPr>
        <w:t>、</w:t>
      </w:r>
      <w:r w:rsidRPr="009744B6">
        <w:rPr>
          <w:rFonts w:eastAsia="標楷體" w:hAnsi="標楷體" w:hint="eastAsia"/>
          <w:color w:val="000000"/>
          <w:sz w:val="40"/>
          <w:szCs w:val="20"/>
        </w:rPr>
        <w:t>第二十五條修正草案條文對照表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D861A8" w:rsidRPr="00022A72" w:rsidTr="009C1D08">
        <w:tc>
          <w:tcPr>
            <w:tcW w:w="2787" w:type="dxa"/>
            <w:shd w:val="clear" w:color="auto" w:fill="auto"/>
          </w:tcPr>
          <w:p w:rsidR="00D861A8" w:rsidRPr="00022A72" w:rsidRDefault="00D861A8" w:rsidP="009C1D08">
            <w:pPr>
              <w:jc w:val="center"/>
              <w:rPr>
                <w:color w:val="000000"/>
              </w:rPr>
            </w:pPr>
            <w:r w:rsidRPr="00022A72">
              <w:rPr>
                <w:rFonts w:eastAsia="標楷體" w:hAnsi="標楷體"/>
                <w:bCs/>
                <w:color w:val="000000"/>
                <w:spacing w:val="-10"/>
              </w:rPr>
              <w:t>修正條文</w:t>
            </w:r>
          </w:p>
        </w:tc>
        <w:tc>
          <w:tcPr>
            <w:tcW w:w="2787" w:type="dxa"/>
            <w:shd w:val="clear" w:color="auto" w:fill="auto"/>
          </w:tcPr>
          <w:p w:rsidR="00D861A8" w:rsidRPr="00022A72" w:rsidRDefault="00D861A8" w:rsidP="009C1D08">
            <w:pPr>
              <w:jc w:val="center"/>
              <w:rPr>
                <w:color w:val="000000"/>
              </w:rPr>
            </w:pPr>
            <w:r w:rsidRPr="00022A72">
              <w:rPr>
                <w:rFonts w:eastAsia="標楷體" w:hAnsi="標楷體"/>
                <w:bCs/>
                <w:color w:val="000000"/>
                <w:spacing w:val="-10"/>
              </w:rPr>
              <w:t>現行條文</w:t>
            </w:r>
          </w:p>
        </w:tc>
        <w:tc>
          <w:tcPr>
            <w:tcW w:w="2788" w:type="dxa"/>
            <w:shd w:val="clear" w:color="auto" w:fill="auto"/>
          </w:tcPr>
          <w:p w:rsidR="00D861A8" w:rsidRPr="00022A72" w:rsidRDefault="00D861A8" w:rsidP="009C1D08">
            <w:pPr>
              <w:jc w:val="center"/>
              <w:rPr>
                <w:color w:val="000000"/>
              </w:rPr>
            </w:pPr>
            <w:r w:rsidRPr="00022A72">
              <w:rPr>
                <w:rFonts w:eastAsia="標楷體" w:hAnsi="標楷體"/>
                <w:bCs/>
                <w:color w:val="000000"/>
                <w:spacing w:val="-10"/>
              </w:rPr>
              <w:t>說明</w:t>
            </w:r>
          </w:p>
        </w:tc>
      </w:tr>
      <w:tr w:rsidR="00D861A8" w:rsidRPr="00022A72" w:rsidTr="009C1D08">
        <w:tc>
          <w:tcPr>
            <w:tcW w:w="2787" w:type="dxa"/>
            <w:shd w:val="clear" w:color="auto" w:fill="auto"/>
          </w:tcPr>
          <w:p w:rsidR="00D861A8" w:rsidRPr="00022A72" w:rsidRDefault="00D861A8" w:rsidP="009C1D08">
            <w:pPr>
              <w:ind w:left="240" w:hangingChars="100" w:hanging="240"/>
              <w:jc w:val="both"/>
              <w:rPr>
                <w:rFonts w:eastAsia="標楷體" w:hAnsi="標楷體"/>
                <w:bCs/>
                <w:color w:val="000000"/>
                <w:kern w:val="0"/>
              </w:rPr>
            </w:pPr>
            <w:r w:rsidRPr="00022A72">
              <w:rPr>
                <w:rFonts w:eastAsia="標楷體" w:hAnsi="標楷體" w:hint="eastAsia"/>
                <w:bCs/>
                <w:color w:val="000000"/>
                <w:kern w:val="0"/>
              </w:rPr>
              <w:t>第三條</w:t>
            </w:r>
            <w:r w:rsidRPr="00022A72">
              <w:rPr>
                <w:rFonts w:eastAsia="標楷體" w:hAnsi="標楷體" w:hint="eastAsia"/>
                <w:bCs/>
                <w:color w:val="000000"/>
                <w:kern w:val="0"/>
              </w:rPr>
              <w:t xml:space="preserve">  </w:t>
            </w:r>
            <w:r w:rsidRPr="00022A72">
              <w:rPr>
                <w:rFonts w:eastAsia="標楷體" w:hAnsi="標楷體" w:hint="eastAsia"/>
                <w:bCs/>
                <w:color w:val="000000"/>
                <w:kern w:val="0"/>
              </w:rPr>
              <w:t>證券投資信託事業有下列情事之</w:t>
            </w:r>
            <w:proofErr w:type="gramStart"/>
            <w:r w:rsidRPr="00022A72">
              <w:rPr>
                <w:rFonts w:eastAsia="標楷體" w:hAnsi="標楷體" w:hint="eastAsia"/>
                <w:bCs/>
                <w:color w:val="000000"/>
                <w:kern w:val="0"/>
              </w:rPr>
              <w:t>一</w:t>
            </w:r>
            <w:proofErr w:type="gramEnd"/>
            <w:r w:rsidRPr="00022A72">
              <w:rPr>
                <w:rFonts w:eastAsia="標楷體" w:hAnsi="標楷體" w:hint="eastAsia"/>
                <w:bCs/>
                <w:color w:val="000000"/>
                <w:kern w:val="0"/>
              </w:rPr>
              <w:t>者，應先報請本會核准：</w:t>
            </w:r>
          </w:p>
          <w:p w:rsidR="00D861A8" w:rsidRDefault="00D861A8" w:rsidP="009C1D08">
            <w:pPr>
              <w:ind w:firstLineChars="100" w:firstLine="240"/>
              <w:jc w:val="both"/>
              <w:rPr>
                <w:rFonts w:eastAsia="標楷體" w:hAnsi="標楷體"/>
                <w:bCs/>
                <w:color w:val="000000"/>
                <w:kern w:val="0"/>
              </w:rPr>
            </w:pPr>
            <w:r w:rsidRPr="00022A72">
              <w:rPr>
                <w:rFonts w:eastAsia="標楷體" w:hAnsi="標楷體" w:hint="eastAsia"/>
                <w:bCs/>
                <w:color w:val="000000"/>
                <w:kern w:val="0"/>
              </w:rPr>
              <w:t>一、</w:t>
            </w:r>
            <w:r w:rsidRPr="00B05740">
              <w:rPr>
                <w:rFonts w:eastAsia="標楷體" w:hAnsi="標楷體" w:hint="eastAsia"/>
                <w:bCs/>
                <w:color w:val="000000"/>
                <w:kern w:val="0"/>
              </w:rPr>
              <w:t>變更公司</w:t>
            </w:r>
            <w:r w:rsidRPr="00B05740">
              <w:rPr>
                <w:rFonts w:eastAsia="標楷體" w:hAnsi="標楷體" w:hint="eastAsia"/>
                <w:bCs/>
                <w:color w:val="000000"/>
                <w:kern w:val="0"/>
                <w:u w:val="single"/>
              </w:rPr>
              <w:t>名稱</w:t>
            </w:r>
            <w:r w:rsidRPr="00B05740">
              <w:rPr>
                <w:rFonts w:eastAsia="標楷體" w:hAnsi="標楷體" w:hint="eastAsia"/>
                <w:bCs/>
                <w:color w:val="000000"/>
                <w:kern w:val="0"/>
              </w:rPr>
              <w:t>。</w:t>
            </w:r>
          </w:p>
          <w:p w:rsidR="00D861A8" w:rsidRPr="00022A72" w:rsidRDefault="00D861A8" w:rsidP="009C1D08">
            <w:pPr>
              <w:ind w:firstLineChars="100" w:firstLine="240"/>
              <w:jc w:val="both"/>
              <w:rPr>
                <w:rFonts w:eastAsia="標楷體" w:hAnsi="標楷體"/>
                <w:bCs/>
                <w:color w:val="000000"/>
                <w:kern w:val="0"/>
              </w:rPr>
            </w:pPr>
            <w:r>
              <w:rPr>
                <w:rFonts w:eastAsia="標楷體" w:hAnsi="標楷體" w:hint="eastAsia"/>
                <w:bCs/>
                <w:color w:val="000000"/>
                <w:kern w:val="0"/>
              </w:rPr>
              <w:t>二、</w:t>
            </w:r>
            <w:r w:rsidRPr="00022A72">
              <w:rPr>
                <w:rFonts w:eastAsia="標楷體" w:hAnsi="標楷體" w:hint="eastAsia"/>
                <w:bCs/>
                <w:color w:val="000000"/>
                <w:kern w:val="0"/>
              </w:rPr>
              <w:t>停業或復業。</w:t>
            </w:r>
          </w:p>
          <w:p w:rsidR="00D861A8" w:rsidRPr="00022A72" w:rsidRDefault="00D861A8" w:rsidP="009C1D08">
            <w:pPr>
              <w:ind w:firstLineChars="100" w:firstLine="240"/>
              <w:jc w:val="both"/>
              <w:rPr>
                <w:rFonts w:eastAsia="標楷體" w:hAnsi="標楷體"/>
                <w:bCs/>
                <w:color w:val="000000"/>
                <w:kern w:val="0"/>
              </w:rPr>
            </w:pPr>
            <w:r>
              <w:rPr>
                <w:rFonts w:eastAsia="標楷體" w:hAnsi="標楷體" w:hint="eastAsia"/>
                <w:bCs/>
                <w:color w:val="000000"/>
                <w:kern w:val="0"/>
              </w:rPr>
              <w:t>三</w:t>
            </w:r>
            <w:r w:rsidRPr="00022A72">
              <w:rPr>
                <w:rFonts w:eastAsia="標楷體" w:hAnsi="標楷體" w:hint="eastAsia"/>
                <w:bCs/>
                <w:color w:val="000000"/>
                <w:kern w:val="0"/>
              </w:rPr>
              <w:t>、解散或合併。</w:t>
            </w:r>
          </w:p>
          <w:p w:rsidR="00D861A8" w:rsidRPr="00022A72" w:rsidRDefault="00D861A8" w:rsidP="009C1D08">
            <w:pPr>
              <w:ind w:leftChars="100" w:left="600" w:hangingChars="150" w:hanging="360"/>
              <w:jc w:val="both"/>
              <w:rPr>
                <w:rFonts w:eastAsia="標楷體" w:hAnsi="標楷體"/>
                <w:bCs/>
                <w:color w:val="000000"/>
                <w:kern w:val="0"/>
              </w:rPr>
            </w:pPr>
            <w:r>
              <w:rPr>
                <w:rFonts w:eastAsia="標楷體" w:hAnsi="標楷體" w:hint="eastAsia"/>
                <w:bCs/>
                <w:color w:val="000000"/>
                <w:kern w:val="0"/>
              </w:rPr>
              <w:t>四</w:t>
            </w:r>
            <w:r w:rsidRPr="00022A72">
              <w:rPr>
                <w:rFonts w:eastAsia="標楷體" w:hAnsi="標楷體" w:hint="eastAsia"/>
                <w:bCs/>
                <w:color w:val="000000"/>
                <w:kern w:val="0"/>
              </w:rPr>
              <w:t>、讓與全部或主要部分之營業或財產。</w:t>
            </w:r>
          </w:p>
          <w:p w:rsidR="00D861A8" w:rsidRPr="00022A72" w:rsidRDefault="00D861A8" w:rsidP="009C1D08">
            <w:pPr>
              <w:ind w:leftChars="117" w:left="706" w:hangingChars="177" w:hanging="425"/>
              <w:jc w:val="both"/>
              <w:rPr>
                <w:rFonts w:eastAsia="標楷體" w:hAnsi="標楷體"/>
                <w:bCs/>
                <w:color w:val="000000"/>
                <w:kern w:val="0"/>
              </w:rPr>
            </w:pPr>
            <w:r>
              <w:rPr>
                <w:rFonts w:eastAsia="標楷體" w:hAnsi="標楷體"/>
                <w:bCs/>
                <w:color w:val="000000"/>
                <w:kern w:val="0"/>
              </w:rPr>
              <w:t>五</w:t>
            </w:r>
            <w:r w:rsidRPr="00022A72">
              <w:rPr>
                <w:rFonts w:eastAsia="標楷體" w:hAnsi="標楷體" w:hint="eastAsia"/>
                <w:bCs/>
                <w:color w:val="000000"/>
                <w:kern w:val="0"/>
              </w:rPr>
              <w:t>、受讓他人全部或主要部分之營業或財產。</w:t>
            </w:r>
          </w:p>
          <w:p w:rsidR="00D861A8" w:rsidRPr="00022A72" w:rsidRDefault="00D861A8" w:rsidP="009C1D08">
            <w:pPr>
              <w:ind w:firstLineChars="118" w:firstLine="283"/>
              <w:jc w:val="both"/>
              <w:rPr>
                <w:rFonts w:eastAsia="標楷體" w:hAnsi="標楷體"/>
                <w:bCs/>
                <w:color w:val="000000"/>
                <w:kern w:val="0"/>
              </w:rPr>
            </w:pPr>
            <w:r>
              <w:rPr>
                <w:rFonts w:eastAsia="標楷體" w:hAnsi="標楷體"/>
                <w:bCs/>
                <w:color w:val="000000"/>
                <w:kern w:val="0"/>
              </w:rPr>
              <w:t>六</w:t>
            </w:r>
            <w:r w:rsidRPr="00022A72">
              <w:rPr>
                <w:rFonts w:eastAsia="標楷體" w:hAnsi="標楷體" w:hint="eastAsia"/>
                <w:bCs/>
                <w:color w:val="000000"/>
                <w:kern w:val="0"/>
              </w:rPr>
              <w:t>、變更資本額。</w:t>
            </w:r>
          </w:p>
          <w:p w:rsidR="00D861A8" w:rsidRPr="00022A72" w:rsidRDefault="00D861A8" w:rsidP="009C1D08">
            <w:pPr>
              <w:ind w:leftChars="50" w:left="600" w:hangingChars="200" w:hanging="480"/>
              <w:jc w:val="both"/>
              <w:rPr>
                <w:rFonts w:eastAsia="標楷體" w:hAnsi="標楷體"/>
                <w:bCs/>
                <w:color w:val="000000"/>
                <w:kern w:val="0"/>
              </w:rPr>
            </w:pPr>
            <w:r>
              <w:rPr>
                <w:rFonts w:eastAsia="標楷體" w:hAnsi="標楷體"/>
                <w:bCs/>
                <w:color w:val="000000"/>
                <w:kern w:val="0"/>
              </w:rPr>
              <w:t>七</w:t>
            </w:r>
            <w:r w:rsidRPr="00022A72">
              <w:rPr>
                <w:rFonts w:eastAsia="標楷體" w:hAnsi="標楷體" w:hint="eastAsia"/>
                <w:bCs/>
                <w:color w:val="000000"/>
                <w:kern w:val="0"/>
              </w:rPr>
              <w:t>、變更公司或分支機構營業處所。</w:t>
            </w:r>
          </w:p>
          <w:p w:rsidR="00D861A8" w:rsidRPr="00022A72" w:rsidRDefault="00D861A8" w:rsidP="009C1D08">
            <w:pPr>
              <w:ind w:leftChars="50" w:left="600" w:hangingChars="200" w:hanging="480"/>
              <w:jc w:val="both"/>
              <w:rPr>
                <w:rFonts w:eastAsia="標楷體" w:hAnsi="標楷體"/>
                <w:bCs/>
                <w:color w:val="000000"/>
                <w:kern w:val="0"/>
              </w:rPr>
            </w:pPr>
            <w:r>
              <w:rPr>
                <w:rFonts w:eastAsia="標楷體" w:hAnsi="標楷體" w:hint="eastAsia"/>
                <w:bCs/>
                <w:color w:val="000000"/>
                <w:kern w:val="0"/>
              </w:rPr>
              <w:t>八</w:t>
            </w:r>
            <w:r w:rsidRPr="00022A72">
              <w:rPr>
                <w:rFonts w:eastAsia="標楷體" w:hAnsi="標楷體" w:hint="eastAsia"/>
                <w:bCs/>
                <w:color w:val="000000"/>
                <w:kern w:val="0"/>
              </w:rPr>
              <w:t>、其他經本會規定應經核准之事項。</w:t>
            </w:r>
          </w:p>
        </w:tc>
        <w:tc>
          <w:tcPr>
            <w:tcW w:w="2787" w:type="dxa"/>
            <w:shd w:val="clear" w:color="auto" w:fill="auto"/>
          </w:tcPr>
          <w:p w:rsidR="00D861A8" w:rsidRPr="00022A72" w:rsidRDefault="00D861A8" w:rsidP="009C1D08">
            <w:pPr>
              <w:adjustRightInd w:val="0"/>
              <w:snapToGrid w:val="0"/>
              <w:spacing w:line="360" w:lineRule="exact"/>
              <w:ind w:leftChars="-12" w:left="269" w:rightChars="12" w:right="29" w:hangingChars="124" w:hanging="298"/>
              <w:jc w:val="both"/>
              <w:rPr>
                <w:rFonts w:ascii="標楷體" w:eastAsia="標楷體" w:hAnsi="標楷體"/>
                <w:bCs/>
                <w:color w:val="000000"/>
              </w:rPr>
            </w:pPr>
            <w:r w:rsidRPr="00022A72">
              <w:rPr>
                <w:rFonts w:ascii="標楷體" w:eastAsia="標楷體" w:hAnsi="標楷體" w:hint="eastAsia"/>
                <w:bCs/>
                <w:color w:val="000000"/>
              </w:rPr>
              <w:t>第三條  證券投資信託事業有下列情事之一者，應先報請本會核准：</w:t>
            </w:r>
          </w:p>
          <w:p w:rsidR="00D861A8" w:rsidRPr="00951C98" w:rsidRDefault="00D861A8" w:rsidP="009C1D08">
            <w:pPr>
              <w:adjustRightInd w:val="0"/>
              <w:snapToGrid w:val="0"/>
              <w:spacing w:line="360" w:lineRule="exact"/>
              <w:ind w:leftChars="88" w:left="269" w:rightChars="12" w:right="29" w:hangingChars="24" w:hanging="58"/>
              <w:jc w:val="both"/>
              <w:rPr>
                <w:rFonts w:ascii="標楷體" w:eastAsia="標楷體" w:hAnsi="標楷體"/>
                <w:bCs/>
                <w:color w:val="000000"/>
              </w:rPr>
            </w:pPr>
            <w:r w:rsidRPr="00B05740">
              <w:rPr>
                <w:rFonts w:ascii="標楷體" w:eastAsia="標楷體" w:hAnsi="標楷體" w:hint="eastAsia"/>
                <w:bCs/>
                <w:color w:val="000000"/>
              </w:rPr>
              <w:t>一、變更公司</w:t>
            </w:r>
            <w:r w:rsidRPr="00951C98">
              <w:rPr>
                <w:rFonts w:ascii="標楷體" w:eastAsia="標楷體" w:hAnsi="標楷體" w:hint="eastAsia"/>
                <w:bCs/>
                <w:color w:val="000000"/>
              </w:rPr>
              <w:t>章程。</w:t>
            </w:r>
          </w:p>
          <w:p w:rsidR="00D861A8" w:rsidRPr="00B05740" w:rsidRDefault="00D861A8" w:rsidP="009C1D08">
            <w:pPr>
              <w:adjustRightInd w:val="0"/>
              <w:snapToGrid w:val="0"/>
              <w:spacing w:line="360" w:lineRule="exact"/>
              <w:ind w:leftChars="88" w:left="269" w:rightChars="12" w:right="29" w:hangingChars="24" w:hanging="58"/>
              <w:jc w:val="both"/>
              <w:rPr>
                <w:rFonts w:ascii="標楷體" w:eastAsia="標楷體" w:hAnsi="標楷體"/>
                <w:bCs/>
                <w:color w:val="000000"/>
              </w:rPr>
            </w:pPr>
            <w:r w:rsidRPr="00951C98">
              <w:rPr>
                <w:rFonts w:ascii="標楷體" w:eastAsia="標楷體" w:hAnsi="標楷體" w:hint="eastAsia"/>
                <w:bCs/>
                <w:color w:val="000000"/>
              </w:rPr>
              <w:t>二、停業或復</w:t>
            </w:r>
            <w:r w:rsidRPr="00B05740">
              <w:rPr>
                <w:rFonts w:ascii="標楷體" w:eastAsia="標楷體" w:hAnsi="標楷體" w:hint="eastAsia"/>
                <w:bCs/>
                <w:color w:val="000000"/>
              </w:rPr>
              <w:t>業。</w:t>
            </w:r>
          </w:p>
          <w:p w:rsidR="00D861A8" w:rsidRPr="00B05740" w:rsidRDefault="00D861A8" w:rsidP="009C1D08">
            <w:pPr>
              <w:adjustRightInd w:val="0"/>
              <w:snapToGrid w:val="0"/>
              <w:spacing w:line="360" w:lineRule="exact"/>
              <w:ind w:leftChars="88" w:left="269" w:rightChars="12" w:right="29" w:hangingChars="24" w:hanging="58"/>
              <w:jc w:val="both"/>
              <w:rPr>
                <w:rFonts w:ascii="標楷體" w:eastAsia="標楷體" w:hAnsi="標楷體"/>
                <w:bCs/>
                <w:color w:val="000000"/>
              </w:rPr>
            </w:pPr>
            <w:r w:rsidRPr="00B05740">
              <w:rPr>
                <w:rFonts w:ascii="標楷體" w:eastAsia="標楷體" w:hAnsi="標楷體" w:hint="eastAsia"/>
                <w:bCs/>
                <w:color w:val="000000"/>
              </w:rPr>
              <w:t>三、解散或合併。</w:t>
            </w:r>
          </w:p>
          <w:p w:rsidR="00D861A8" w:rsidRPr="00B05740" w:rsidRDefault="00D861A8" w:rsidP="009C1D08">
            <w:pPr>
              <w:adjustRightInd w:val="0"/>
              <w:snapToGrid w:val="0"/>
              <w:spacing w:line="360" w:lineRule="exact"/>
              <w:ind w:leftChars="78" w:left="612" w:rightChars="12" w:right="29" w:hangingChars="177" w:hanging="425"/>
              <w:jc w:val="both"/>
              <w:rPr>
                <w:rFonts w:ascii="標楷體" w:eastAsia="標楷體" w:hAnsi="標楷體"/>
                <w:bCs/>
                <w:color w:val="000000"/>
              </w:rPr>
            </w:pPr>
            <w:r w:rsidRPr="00B05740">
              <w:rPr>
                <w:rFonts w:ascii="標楷體" w:eastAsia="標楷體" w:hAnsi="標楷體" w:hint="eastAsia"/>
                <w:bCs/>
                <w:color w:val="000000"/>
              </w:rPr>
              <w:t>四、讓與全部或主要部分之營業或財產。</w:t>
            </w:r>
          </w:p>
          <w:p w:rsidR="00D861A8" w:rsidRPr="00B05740" w:rsidRDefault="00D861A8" w:rsidP="009C1D08">
            <w:pPr>
              <w:adjustRightInd w:val="0"/>
              <w:snapToGrid w:val="0"/>
              <w:spacing w:line="360" w:lineRule="exact"/>
              <w:ind w:leftChars="88" w:left="629" w:rightChars="12" w:right="29" w:hangingChars="174" w:hanging="418"/>
              <w:jc w:val="both"/>
              <w:rPr>
                <w:rFonts w:ascii="標楷體" w:eastAsia="標楷體" w:hAnsi="標楷體"/>
                <w:bCs/>
                <w:color w:val="000000"/>
              </w:rPr>
            </w:pPr>
            <w:r w:rsidRPr="00B05740">
              <w:rPr>
                <w:rFonts w:ascii="標楷體" w:eastAsia="標楷體" w:hAnsi="標楷體" w:hint="eastAsia"/>
                <w:bCs/>
                <w:color w:val="000000"/>
              </w:rPr>
              <w:t>五、受讓他人全部或主要部分之營業或財產。</w:t>
            </w:r>
          </w:p>
          <w:p w:rsidR="00D861A8" w:rsidRPr="00B05740" w:rsidRDefault="00D861A8" w:rsidP="009C1D08">
            <w:pPr>
              <w:adjustRightInd w:val="0"/>
              <w:snapToGrid w:val="0"/>
              <w:spacing w:line="360" w:lineRule="exact"/>
              <w:ind w:leftChars="88" w:left="269" w:rightChars="12" w:right="29" w:hangingChars="24" w:hanging="58"/>
              <w:jc w:val="both"/>
              <w:rPr>
                <w:rFonts w:ascii="標楷體" w:eastAsia="標楷體" w:hAnsi="標楷體"/>
                <w:bCs/>
                <w:color w:val="000000"/>
              </w:rPr>
            </w:pPr>
            <w:r w:rsidRPr="00B05740">
              <w:rPr>
                <w:rFonts w:ascii="標楷體" w:eastAsia="標楷體" w:hAnsi="標楷體" w:hint="eastAsia"/>
                <w:bCs/>
                <w:color w:val="000000"/>
              </w:rPr>
              <w:t>六、變更資本額。</w:t>
            </w:r>
          </w:p>
          <w:p w:rsidR="00D861A8" w:rsidRPr="00022A72" w:rsidRDefault="00D861A8" w:rsidP="009C1D08">
            <w:pPr>
              <w:adjustRightInd w:val="0"/>
              <w:snapToGrid w:val="0"/>
              <w:spacing w:line="360" w:lineRule="exact"/>
              <w:ind w:leftChars="88" w:left="629" w:rightChars="12" w:right="29" w:hangingChars="174" w:hanging="418"/>
              <w:jc w:val="both"/>
              <w:rPr>
                <w:rFonts w:ascii="標楷體" w:eastAsia="標楷體" w:hAnsi="標楷體"/>
                <w:bCs/>
                <w:color w:val="000000"/>
              </w:rPr>
            </w:pPr>
            <w:r w:rsidRPr="00B05740">
              <w:rPr>
                <w:rFonts w:ascii="標楷體" w:eastAsia="標楷體" w:hAnsi="標楷體" w:hint="eastAsia"/>
                <w:bCs/>
                <w:color w:val="000000"/>
              </w:rPr>
              <w:t>七、</w:t>
            </w:r>
            <w:r w:rsidRPr="00022A72">
              <w:rPr>
                <w:rFonts w:ascii="標楷體" w:eastAsia="標楷體" w:hAnsi="標楷體" w:hint="eastAsia"/>
                <w:bCs/>
                <w:color w:val="000000"/>
              </w:rPr>
              <w:t>變更公司或分支機構營業處所。</w:t>
            </w:r>
          </w:p>
          <w:p w:rsidR="00D861A8" w:rsidRPr="00022A72" w:rsidRDefault="00D861A8" w:rsidP="009C1D08">
            <w:pPr>
              <w:adjustRightInd w:val="0"/>
              <w:snapToGrid w:val="0"/>
              <w:spacing w:line="360" w:lineRule="exact"/>
              <w:ind w:leftChars="88" w:left="629" w:rightChars="12" w:right="29" w:hangingChars="174" w:hanging="418"/>
              <w:jc w:val="both"/>
              <w:rPr>
                <w:rFonts w:eastAsia="標楷體" w:hAnsi="標楷體"/>
                <w:bCs/>
                <w:color w:val="000000"/>
                <w:spacing w:val="-10"/>
              </w:rPr>
            </w:pPr>
            <w:r w:rsidRPr="00B05740">
              <w:rPr>
                <w:rFonts w:ascii="標楷體" w:eastAsia="標楷體" w:hAnsi="標楷體" w:hint="eastAsia"/>
                <w:bCs/>
                <w:color w:val="000000"/>
              </w:rPr>
              <w:t>八、</w:t>
            </w:r>
            <w:r w:rsidRPr="00022A72">
              <w:rPr>
                <w:rFonts w:ascii="標楷體" w:eastAsia="標楷體" w:hAnsi="標楷體" w:hint="eastAsia"/>
                <w:bCs/>
                <w:color w:val="000000"/>
              </w:rPr>
              <w:t>其他經本會規定應經核准之事項。</w:t>
            </w:r>
          </w:p>
        </w:tc>
        <w:tc>
          <w:tcPr>
            <w:tcW w:w="2788" w:type="dxa"/>
            <w:shd w:val="clear" w:color="auto" w:fill="auto"/>
          </w:tcPr>
          <w:p w:rsidR="00D861A8" w:rsidRPr="00022A72" w:rsidRDefault="00D861A8" w:rsidP="009C1D08">
            <w:pPr>
              <w:jc w:val="both"/>
              <w:rPr>
                <w:rFonts w:ascii="標楷體" w:eastAsia="標楷體" w:hAnsi="標楷體"/>
                <w:bCs/>
                <w:color w:val="000000"/>
              </w:rPr>
            </w:pPr>
            <w:r w:rsidRPr="00022A72">
              <w:rPr>
                <w:rFonts w:ascii="標楷體" w:eastAsia="標楷體" w:hAnsi="標楷體"/>
                <w:bCs/>
                <w:color w:val="000000"/>
              </w:rPr>
              <w:t>經查公司法第二百七十七</w:t>
            </w:r>
            <w:r w:rsidRPr="00022A72">
              <w:rPr>
                <w:rFonts w:ascii="標楷體" w:eastAsia="標楷體" w:hAnsi="標楷體" w:hint="eastAsia"/>
                <w:bCs/>
                <w:color w:val="000000"/>
              </w:rPr>
              <w:t>條已明定公司變更章程應經股東會特別決議行之。另參酌證券投資顧問事業管理規則第三條規定，證券投資顧問事業變更公司章程</w:t>
            </w:r>
            <w:r>
              <w:rPr>
                <w:rFonts w:ascii="標楷體" w:eastAsia="標楷體" w:hAnsi="標楷體" w:hint="eastAsia"/>
                <w:bCs/>
                <w:color w:val="000000"/>
              </w:rPr>
              <w:t>無</w:t>
            </w:r>
            <w:r w:rsidRPr="00022A72">
              <w:rPr>
                <w:rFonts w:ascii="標楷體" w:eastAsia="標楷體" w:hAnsi="標楷體" w:hint="eastAsia"/>
                <w:bCs/>
                <w:color w:val="000000"/>
              </w:rPr>
              <w:t>須報請</w:t>
            </w:r>
            <w:r w:rsidRPr="00951C98">
              <w:rPr>
                <w:rFonts w:ascii="標楷體" w:eastAsia="標楷體" w:hAnsi="標楷體" w:hint="eastAsia"/>
                <w:bCs/>
                <w:color w:val="000000"/>
              </w:rPr>
              <w:t>金融監督管理委員會(以下簡稱金管會)</w:t>
            </w:r>
            <w:r w:rsidRPr="00022A72">
              <w:rPr>
                <w:rFonts w:ascii="標楷體" w:eastAsia="標楷體" w:hAnsi="標楷體" w:hint="eastAsia"/>
                <w:bCs/>
                <w:color w:val="000000"/>
              </w:rPr>
              <w:t>核准，</w:t>
            </w:r>
            <w:r>
              <w:rPr>
                <w:rFonts w:ascii="標楷體" w:eastAsia="標楷體" w:hAnsi="標楷體" w:hint="eastAsia"/>
                <w:bCs/>
                <w:color w:val="000000"/>
              </w:rPr>
              <w:t>惟公司名稱應先報請金管會核准，</w:t>
            </w:r>
            <w:r w:rsidRPr="00022A72">
              <w:rPr>
                <w:rFonts w:ascii="標楷體" w:eastAsia="標楷體" w:hAnsi="標楷體" w:hint="eastAsia"/>
                <w:bCs/>
                <w:color w:val="000000"/>
              </w:rPr>
              <w:t>故</w:t>
            </w:r>
            <w:r>
              <w:rPr>
                <w:rFonts w:ascii="標楷體" w:eastAsia="標楷體" w:hAnsi="標楷體" w:hint="eastAsia"/>
                <w:bCs/>
                <w:color w:val="000000"/>
              </w:rPr>
              <w:t>基於法規之一致性，爰配合修正</w:t>
            </w:r>
            <w:r w:rsidRPr="00504C65">
              <w:rPr>
                <w:rFonts w:eastAsia="標楷體" w:hint="eastAsia"/>
                <w:color w:val="0000FF"/>
              </w:rPr>
              <w:t>本條</w:t>
            </w:r>
            <w:r>
              <w:rPr>
                <w:rFonts w:ascii="標楷體" w:eastAsia="標楷體" w:hAnsi="標楷體" w:hint="eastAsia"/>
                <w:bCs/>
                <w:color w:val="000000"/>
              </w:rPr>
              <w:t>第一款，規定變更公司名稱應先報經金管會核准，至於其他章程變更事項則無須報經核准</w:t>
            </w:r>
            <w:r w:rsidRPr="00022A72">
              <w:rPr>
                <w:rFonts w:ascii="標楷體" w:eastAsia="標楷體" w:hAnsi="標楷體" w:hint="eastAsia"/>
                <w:bCs/>
                <w:color w:val="000000"/>
              </w:rPr>
              <w:t>。</w:t>
            </w:r>
          </w:p>
          <w:p w:rsidR="00D861A8" w:rsidRPr="000646F7" w:rsidRDefault="00D861A8" w:rsidP="009C1D08">
            <w:pPr>
              <w:adjustRightInd w:val="0"/>
              <w:snapToGrid w:val="0"/>
              <w:spacing w:line="360" w:lineRule="exact"/>
              <w:ind w:left="5" w:rightChars="12" w:right="29" w:hangingChars="2" w:hanging="5"/>
              <w:jc w:val="both"/>
              <w:rPr>
                <w:rFonts w:ascii="標楷體" w:eastAsia="標楷體" w:hAnsi="標楷體"/>
                <w:bCs/>
                <w:color w:val="0000FF"/>
              </w:rPr>
            </w:pPr>
          </w:p>
        </w:tc>
      </w:tr>
      <w:tr w:rsidR="00D861A8" w:rsidRPr="00022A72" w:rsidTr="009C1D08">
        <w:tc>
          <w:tcPr>
            <w:tcW w:w="2787" w:type="dxa"/>
            <w:shd w:val="clear" w:color="auto" w:fill="auto"/>
          </w:tcPr>
          <w:p w:rsidR="00D861A8" w:rsidRPr="00022A72" w:rsidRDefault="00D861A8" w:rsidP="009C1D08">
            <w:pPr>
              <w:adjustRightInd w:val="0"/>
              <w:snapToGrid w:val="0"/>
              <w:spacing w:line="360" w:lineRule="exact"/>
              <w:ind w:left="312" w:rightChars="12" w:right="29" w:hangingChars="130" w:hanging="312"/>
              <w:jc w:val="both"/>
              <w:rPr>
                <w:rFonts w:ascii="標楷體" w:eastAsia="標楷體" w:hAnsi="標楷體"/>
                <w:color w:val="000000"/>
              </w:rPr>
            </w:pPr>
            <w:r w:rsidRPr="00022A72">
              <w:rPr>
                <w:rFonts w:ascii="標楷體" w:eastAsia="標楷體" w:hAnsi="標楷體" w:hint="eastAsia"/>
                <w:color w:val="000000"/>
              </w:rPr>
              <w:t>第二十四條之一  證券投資信託事業或其海外子公</w:t>
            </w:r>
            <w:r w:rsidRPr="00022A72">
              <w:rPr>
                <w:rFonts w:ascii="標楷體" w:eastAsia="標楷體" w:hAnsi="標楷體" w:hint="eastAsia"/>
                <w:color w:val="000000"/>
                <w:kern w:val="0"/>
              </w:rPr>
              <w:t>司投資大陸地區證券投資基金管理公司，應依臺灣地區與大陸地區證券及期貨業務往來許可辦法之規定辦理。</w:t>
            </w:r>
          </w:p>
        </w:tc>
        <w:tc>
          <w:tcPr>
            <w:tcW w:w="2787" w:type="dxa"/>
            <w:shd w:val="clear" w:color="auto" w:fill="auto"/>
          </w:tcPr>
          <w:p w:rsidR="00D861A8" w:rsidRPr="00022A72" w:rsidRDefault="00D861A8" w:rsidP="009C1D08">
            <w:pPr>
              <w:adjustRightInd w:val="0"/>
              <w:snapToGrid w:val="0"/>
              <w:spacing w:line="360" w:lineRule="exact"/>
              <w:ind w:left="271" w:rightChars="12" w:right="29" w:hangingChars="113" w:hanging="271"/>
              <w:jc w:val="both"/>
              <w:rPr>
                <w:rFonts w:ascii="標楷體" w:eastAsia="標楷體" w:hAnsi="標楷體"/>
                <w:bCs/>
                <w:color w:val="000000"/>
              </w:rPr>
            </w:pPr>
            <w:r w:rsidRPr="00022A72">
              <w:rPr>
                <w:rFonts w:ascii="標楷體" w:eastAsia="標楷體" w:hAnsi="標楷體" w:hint="eastAsia"/>
                <w:bCs/>
                <w:color w:val="000000"/>
              </w:rPr>
              <w:t>第二十四條之一  證券投資信託事業或其海外子公司投資大陸地區證券投資基金管理公司，應依臺灣地區與大陸地區證券及期貨業務往來許可辦法之規定辦理。</w:t>
            </w:r>
          </w:p>
          <w:p w:rsidR="00D861A8" w:rsidRPr="00022A72" w:rsidRDefault="00D861A8" w:rsidP="009C1D08">
            <w:pPr>
              <w:adjustRightInd w:val="0"/>
              <w:snapToGrid w:val="0"/>
              <w:spacing w:line="360" w:lineRule="exact"/>
              <w:ind w:leftChars="100" w:left="240" w:rightChars="12" w:right="29" w:firstLineChars="200" w:firstLine="480"/>
              <w:jc w:val="both"/>
              <w:rPr>
                <w:rFonts w:ascii="標楷體" w:eastAsia="標楷體" w:hAnsi="標楷體"/>
                <w:color w:val="000000"/>
                <w:u w:val="single"/>
              </w:rPr>
            </w:pPr>
            <w:r w:rsidRPr="00022A72">
              <w:rPr>
                <w:rFonts w:ascii="標楷體" w:eastAsia="標楷體" w:hAnsi="標楷體" w:hint="eastAsia"/>
                <w:bCs/>
                <w:color w:val="000000"/>
                <w:u w:val="single"/>
              </w:rPr>
              <w:t>證券投資信託事業或其海外子公司投資之大陸地區證券投資基金管理公司，不得對臺灣地區個人及事業提供服務。</w:t>
            </w:r>
          </w:p>
        </w:tc>
        <w:tc>
          <w:tcPr>
            <w:tcW w:w="2788" w:type="dxa"/>
            <w:shd w:val="clear" w:color="auto" w:fill="auto"/>
          </w:tcPr>
          <w:p w:rsidR="00D861A8" w:rsidRDefault="00D861A8" w:rsidP="00D861A8">
            <w:pPr>
              <w:numPr>
                <w:ilvl w:val="0"/>
                <w:numId w:val="1"/>
              </w:numPr>
              <w:ind w:left="465" w:hanging="510"/>
              <w:jc w:val="both"/>
              <w:rPr>
                <w:rFonts w:eastAsia="標楷體"/>
                <w:color w:val="000000"/>
              </w:rPr>
            </w:pPr>
            <w:r w:rsidRPr="00022A72">
              <w:rPr>
                <w:rFonts w:eastAsia="標楷體" w:hint="eastAsia"/>
                <w:color w:val="000000"/>
              </w:rPr>
              <w:t>經查</w:t>
            </w:r>
            <w:r w:rsidRPr="00504C65">
              <w:rPr>
                <w:rFonts w:eastAsia="標楷體" w:hint="eastAsia"/>
                <w:color w:val="0000FF"/>
              </w:rPr>
              <w:t>本條</w:t>
            </w:r>
            <w:r w:rsidRPr="00022A72">
              <w:rPr>
                <w:rFonts w:eastAsia="標楷體" w:hint="eastAsia"/>
                <w:color w:val="000000"/>
              </w:rPr>
              <w:t>第二項規定，</w:t>
            </w:r>
            <w:r w:rsidR="00A83607" w:rsidRPr="000646F7">
              <w:rPr>
                <w:rFonts w:eastAsia="標楷體" w:hint="eastAsia"/>
                <w:color w:val="0000FF"/>
              </w:rPr>
              <w:t>原</w:t>
            </w:r>
            <w:r w:rsidRPr="00022A72">
              <w:rPr>
                <w:rFonts w:eastAsia="標楷體" w:hint="eastAsia"/>
                <w:color w:val="000000"/>
              </w:rPr>
              <w:t>係為配合開放</w:t>
            </w:r>
            <w:r>
              <w:rPr>
                <w:rFonts w:eastAsia="標楷體" w:hint="eastAsia"/>
                <w:color w:val="000000"/>
              </w:rPr>
              <w:t>證券投資信託</w:t>
            </w:r>
            <w:r w:rsidRPr="00022A72">
              <w:rPr>
                <w:rFonts w:eastAsia="標楷體" w:hint="eastAsia"/>
                <w:color w:val="000000"/>
              </w:rPr>
              <w:t>事業得直</w:t>
            </w:r>
            <w:bookmarkStart w:id="0" w:name="_GoBack"/>
            <w:bookmarkEnd w:id="0"/>
            <w:r w:rsidRPr="00022A72">
              <w:rPr>
                <w:rFonts w:eastAsia="標楷體" w:hint="eastAsia"/>
                <w:color w:val="000000"/>
              </w:rPr>
              <w:t>接或間接投資大陸地區基金管理公司，爰於九十七年八月四日參酌證券商管理規則第四十九條之一規定新</w:t>
            </w:r>
            <w:r>
              <w:rPr>
                <w:rFonts w:eastAsia="標楷體" w:hint="eastAsia"/>
                <w:color w:val="000000"/>
              </w:rPr>
              <w:t>增</w:t>
            </w:r>
            <w:r w:rsidRPr="00022A72">
              <w:rPr>
                <w:rFonts w:eastAsia="標楷體" w:hint="eastAsia"/>
                <w:color w:val="000000"/>
              </w:rPr>
              <w:t>。</w:t>
            </w:r>
            <w:proofErr w:type="gramStart"/>
            <w:r w:rsidRPr="00022A72">
              <w:rPr>
                <w:rFonts w:eastAsia="標楷體" w:hint="eastAsia"/>
                <w:color w:val="000000"/>
              </w:rPr>
              <w:t>惟</w:t>
            </w:r>
            <w:proofErr w:type="gramEnd"/>
            <w:r w:rsidRPr="00022A72">
              <w:rPr>
                <w:rFonts w:eastAsia="標楷體" w:hint="eastAsia"/>
                <w:color w:val="000000"/>
              </w:rPr>
              <w:t>現行</w:t>
            </w:r>
            <w:r w:rsidRPr="009744B6">
              <w:rPr>
                <w:rFonts w:eastAsia="標楷體" w:hint="eastAsia"/>
                <w:color w:val="000000"/>
              </w:rPr>
              <w:t>證券投資信託事業</w:t>
            </w:r>
            <w:r w:rsidRPr="00022A72">
              <w:rPr>
                <w:rFonts w:eastAsia="標楷體" w:hint="eastAsia"/>
                <w:color w:val="000000"/>
              </w:rPr>
              <w:t>依據臺灣地區與大陸地區證券期貨業務往來及投資許可管理辦法</w:t>
            </w:r>
            <w:r>
              <w:rPr>
                <w:rFonts w:eastAsia="標楷體" w:hint="eastAsia"/>
                <w:color w:val="000000"/>
              </w:rPr>
              <w:t>(</w:t>
            </w:r>
            <w:r>
              <w:rPr>
                <w:rFonts w:eastAsia="標楷體" w:hint="eastAsia"/>
                <w:color w:val="000000"/>
              </w:rPr>
              <w:t>以下簡稱</w:t>
            </w:r>
            <w:r w:rsidRPr="00446191">
              <w:rPr>
                <w:rFonts w:eastAsia="標楷體" w:hint="eastAsia"/>
                <w:color w:val="000000"/>
              </w:rPr>
              <w:t>兩岸證券期貨業務往來許可辦法</w:t>
            </w:r>
            <w:r>
              <w:rPr>
                <w:rFonts w:eastAsia="標楷體" w:hint="eastAsia"/>
                <w:color w:val="000000"/>
              </w:rPr>
              <w:t>)</w:t>
            </w:r>
            <w:r w:rsidRPr="00022A72">
              <w:rPr>
                <w:rFonts w:eastAsia="標楷體" w:hint="eastAsia"/>
                <w:color w:val="000000"/>
              </w:rPr>
              <w:t>規定，已得與大陸地區進行證券</w:t>
            </w:r>
            <w:r w:rsidRPr="00022A72">
              <w:rPr>
                <w:rFonts w:eastAsia="標楷體" w:hint="eastAsia"/>
                <w:color w:val="000000"/>
              </w:rPr>
              <w:lastRenderedPageBreak/>
              <w:t>期貨業務往來，如規定臺灣</w:t>
            </w:r>
            <w:r w:rsidRPr="009744B6">
              <w:rPr>
                <w:rFonts w:eastAsia="標楷體" w:hint="eastAsia"/>
                <w:color w:val="000000"/>
              </w:rPr>
              <w:t>證券投資信託事業</w:t>
            </w:r>
            <w:r w:rsidRPr="00022A72">
              <w:rPr>
                <w:rFonts w:eastAsia="標楷體" w:hint="eastAsia"/>
                <w:color w:val="000000"/>
              </w:rPr>
              <w:t>所投資之大陸地區證券投資基金管理公司，不得對臺灣地區個人及事業提供任何服務，將產生不公平之情況，亦不利國內業者在大陸轉投資事業之競爭力，另查證券商管</w:t>
            </w:r>
            <w:r>
              <w:rPr>
                <w:rFonts w:eastAsia="標楷體" w:hint="eastAsia"/>
                <w:color w:val="000000"/>
              </w:rPr>
              <w:t>理</w:t>
            </w:r>
            <w:r w:rsidRPr="00022A72">
              <w:rPr>
                <w:rFonts w:eastAsia="標楷體" w:hint="eastAsia"/>
                <w:color w:val="000000"/>
              </w:rPr>
              <w:t>規則業於一百零一年十月十一日刪除第四十九條之一第二項有關證券商或其海外子公司投資之大陸地區證券、期貨機構，不得在臺灣地區對個人及事業提供服務之規定。</w:t>
            </w:r>
          </w:p>
          <w:p w:rsidR="00D861A8" w:rsidRPr="00022A72" w:rsidRDefault="00D861A8" w:rsidP="00D861A8">
            <w:pPr>
              <w:numPr>
                <w:ilvl w:val="0"/>
                <w:numId w:val="1"/>
              </w:numPr>
              <w:ind w:left="465" w:hanging="510"/>
              <w:jc w:val="both"/>
              <w:rPr>
                <w:rFonts w:eastAsia="標楷體"/>
                <w:color w:val="000000"/>
              </w:rPr>
            </w:pPr>
            <w:r w:rsidRPr="00022A72">
              <w:rPr>
                <w:rFonts w:eastAsia="標楷體" w:hint="eastAsia"/>
                <w:color w:val="000000"/>
              </w:rPr>
              <w:t>考量現行證券投資信託及顧問法第六條已明定非依本法不得經營證券投資信託、證券投資顧問及全權委託投資業務，故大陸基金公司非依法令不得在臺灣經營前揭業務。至於大陸基金公司擬與臺灣從事證券期貨業務往來，亦需依兩岸證券期貨業務往來許可辦法規定辦理，</w:t>
            </w:r>
            <w:proofErr w:type="gramStart"/>
            <w:r w:rsidRPr="00022A72">
              <w:rPr>
                <w:rFonts w:eastAsia="標楷體" w:hint="eastAsia"/>
                <w:color w:val="000000"/>
              </w:rPr>
              <w:t>爰</w:t>
            </w:r>
            <w:proofErr w:type="gramEnd"/>
            <w:r w:rsidRPr="00022A72">
              <w:rPr>
                <w:rFonts w:eastAsia="標楷體" w:hint="eastAsia"/>
                <w:color w:val="000000"/>
              </w:rPr>
              <w:t>刪除</w:t>
            </w:r>
            <w:r w:rsidRPr="00504C65">
              <w:rPr>
                <w:rFonts w:eastAsia="標楷體" w:hint="eastAsia"/>
                <w:color w:val="0000FF"/>
              </w:rPr>
              <w:t>本條</w:t>
            </w:r>
            <w:r w:rsidRPr="00022A72">
              <w:rPr>
                <w:rFonts w:eastAsia="標楷體" w:hint="eastAsia"/>
                <w:color w:val="000000"/>
              </w:rPr>
              <w:t>第二項有關證券投資信託事業或其海外</w:t>
            </w:r>
            <w:r w:rsidRPr="00022A72">
              <w:rPr>
                <w:rFonts w:eastAsia="標楷體" w:hint="eastAsia"/>
                <w:color w:val="000000"/>
              </w:rPr>
              <w:lastRenderedPageBreak/>
              <w:t>子公司投資之大陸地區證券投資基金管理公司，不得對臺灣地區個人及事業提供服務之規定。</w:t>
            </w:r>
          </w:p>
        </w:tc>
      </w:tr>
      <w:tr w:rsidR="00D861A8" w:rsidRPr="00022A72" w:rsidTr="009C1D08">
        <w:tc>
          <w:tcPr>
            <w:tcW w:w="2787" w:type="dxa"/>
            <w:shd w:val="clear" w:color="auto" w:fill="auto"/>
          </w:tcPr>
          <w:p w:rsidR="00D861A8" w:rsidRPr="00B14352" w:rsidRDefault="00D861A8" w:rsidP="009C1D08">
            <w:pPr>
              <w:tabs>
                <w:tab w:val="left" w:pos="1466"/>
              </w:tabs>
              <w:adjustRightInd w:val="0"/>
              <w:snapToGrid w:val="0"/>
              <w:spacing w:line="360" w:lineRule="exact"/>
              <w:ind w:left="190" w:rightChars="12" w:right="29" w:hangingChars="79" w:hanging="190"/>
              <w:jc w:val="both"/>
              <w:rPr>
                <w:rFonts w:ascii="標楷體" w:eastAsia="標楷體" w:hAnsi="標楷體"/>
                <w:bCs/>
                <w:color w:val="000000"/>
              </w:rPr>
            </w:pPr>
            <w:r w:rsidRPr="00B14352">
              <w:rPr>
                <w:rFonts w:ascii="標楷體" w:eastAsia="標楷體" w:hAnsi="標楷體" w:hint="eastAsia"/>
                <w:bCs/>
                <w:color w:val="000000"/>
              </w:rPr>
              <w:lastRenderedPageBreak/>
              <w:t>第</w:t>
            </w:r>
            <w:r>
              <w:rPr>
                <w:rFonts w:ascii="標楷體" w:eastAsia="標楷體" w:hAnsi="標楷體" w:hint="eastAsia"/>
                <w:bCs/>
                <w:color w:val="000000"/>
              </w:rPr>
              <w:t>二十五</w:t>
            </w:r>
            <w:r w:rsidRPr="00B14352">
              <w:rPr>
                <w:rFonts w:ascii="標楷體" w:eastAsia="標楷體" w:hAnsi="標楷體" w:hint="eastAsia"/>
                <w:bCs/>
                <w:color w:val="000000"/>
              </w:rPr>
              <w:t>條   證券投資信託事業申請投資外國事業，除法令另有規定者外，應符合下列各款之規定：</w:t>
            </w:r>
          </w:p>
          <w:p w:rsidR="00D861A8" w:rsidRPr="00B14352" w:rsidRDefault="00D861A8" w:rsidP="009C1D08">
            <w:pPr>
              <w:adjustRightInd w:val="0"/>
              <w:snapToGrid w:val="0"/>
              <w:spacing w:line="360" w:lineRule="exact"/>
              <w:ind w:leftChars="100" w:left="271" w:rightChars="12" w:right="29" w:hangingChars="13" w:hanging="31"/>
              <w:jc w:val="both"/>
              <w:rPr>
                <w:rFonts w:ascii="標楷體" w:eastAsia="標楷體" w:hAnsi="標楷體"/>
                <w:bCs/>
                <w:color w:val="000000"/>
              </w:rPr>
            </w:pPr>
            <w:r w:rsidRPr="00B14352">
              <w:rPr>
                <w:rFonts w:ascii="標楷體" w:eastAsia="標楷體" w:hAnsi="標楷體" w:hint="eastAsia"/>
                <w:bCs/>
                <w:color w:val="000000"/>
              </w:rPr>
              <w:t>一、營業滿二年。</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二、最近三個月未曾受本法第一百零三條第一款或證券交易法第六十六條第一款規定之處分。</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三、最近半年未曾受本法第一百零三條第二款、第三款或證券交易法第六    十六條第二款規定之處分。</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四、最近一年未曾受本法第一百零三條第四款或證券交易法第六十六條第三款規定之處分。</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五、最近二年未曾受本法第一百零三條第五款或證券交易法第六十六條第四款規定之處分。</w:t>
            </w:r>
          </w:p>
          <w:p w:rsidR="00D861A8" w:rsidRPr="00B14352" w:rsidRDefault="00D861A8" w:rsidP="009C1D08">
            <w:pPr>
              <w:adjustRightInd w:val="0"/>
              <w:snapToGrid w:val="0"/>
              <w:spacing w:line="360" w:lineRule="exact"/>
              <w:ind w:leftChars="50" w:left="631" w:rightChars="12" w:right="29" w:hangingChars="213" w:hanging="511"/>
              <w:jc w:val="both"/>
              <w:rPr>
                <w:rFonts w:ascii="標楷體" w:eastAsia="標楷體" w:hAnsi="標楷體"/>
                <w:bCs/>
                <w:color w:val="000000"/>
              </w:rPr>
            </w:pPr>
            <w:r w:rsidRPr="00B14352">
              <w:rPr>
                <w:rFonts w:ascii="標楷體" w:eastAsia="標楷體" w:hAnsi="標楷體" w:hint="eastAsia"/>
                <w:bCs/>
                <w:color w:val="000000"/>
              </w:rPr>
              <w:t>六、最近期經會計師查核簽證之財務報告，每股淨值不低</w:t>
            </w:r>
            <w:r w:rsidRPr="00B14352">
              <w:rPr>
                <w:rFonts w:ascii="標楷體" w:eastAsia="標楷體" w:hAnsi="標楷體" w:hint="eastAsia"/>
                <w:bCs/>
                <w:color w:val="000000"/>
              </w:rPr>
              <w:lastRenderedPageBreak/>
              <w:t>於面額。</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七、投資外國事業及大陸地區證券投資基金管理公司之總金額，不得超過    證券投資信託事業淨值百分之四十。但有特殊需要經專案核准者，</w:t>
            </w:r>
            <w:proofErr w:type="gramStart"/>
            <w:r w:rsidRPr="00B14352">
              <w:rPr>
                <w:rFonts w:ascii="標楷體" w:eastAsia="標楷體" w:hAnsi="標楷體" w:hint="eastAsia"/>
                <w:bCs/>
                <w:color w:val="000000"/>
              </w:rPr>
              <w:t>不</w:t>
            </w:r>
            <w:proofErr w:type="gramEnd"/>
            <w:r w:rsidRPr="00B14352">
              <w:rPr>
                <w:rFonts w:ascii="標楷體" w:eastAsia="標楷體" w:hAnsi="標楷體" w:hint="eastAsia"/>
                <w:bCs/>
                <w:color w:val="000000"/>
              </w:rPr>
              <w:t xml:space="preserve">    在此限。</w:t>
            </w:r>
          </w:p>
          <w:p w:rsidR="00D861A8" w:rsidRPr="00B14352" w:rsidRDefault="00D861A8" w:rsidP="009C1D08">
            <w:pPr>
              <w:adjustRightInd w:val="0"/>
              <w:snapToGrid w:val="0"/>
              <w:spacing w:line="360" w:lineRule="exact"/>
              <w:ind w:leftChars="100" w:left="240" w:rightChars="12" w:right="29" w:firstLineChars="206" w:firstLine="494"/>
              <w:jc w:val="both"/>
              <w:rPr>
                <w:rFonts w:ascii="標楷體" w:eastAsia="標楷體" w:hAnsi="標楷體"/>
                <w:bCs/>
                <w:color w:val="000000"/>
              </w:rPr>
            </w:pPr>
            <w:r w:rsidRPr="00B14352">
              <w:rPr>
                <w:rFonts w:ascii="標楷體" w:eastAsia="標楷體" w:hAnsi="標楷體" w:hint="eastAsia"/>
                <w:bCs/>
                <w:color w:val="000000"/>
              </w:rPr>
              <w:t>證券投資信託事業不符合前項第二款至第五款規定，其違法情事已具體改善並經本會認可者，不適用各該款規定。</w:t>
            </w:r>
          </w:p>
          <w:p w:rsidR="00D861A8" w:rsidRPr="00B14352" w:rsidRDefault="00D861A8" w:rsidP="009C1D08">
            <w:pPr>
              <w:adjustRightInd w:val="0"/>
              <w:snapToGrid w:val="0"/>
              <w:spacing w:line="360" w:lineRule="exact"/>
              <w:ind w:leftChars="100" w:left="240" w:rightChars="12" w:right="29" w:firstLineChars="200" w:firstLine="480"/>
              <w:jc w:val="both"/>
              <w:rPr>
                <w:rFonts w:ascii="標楷體" w:eastAsia="標楷體" w:hAnsi="標楷體"/>
                <w:color w:val="000000"/>
              </w:rPr>
            </w:pPr>
          </w:p>
        </w:tc>
        <w:tc>
          <w:tcPr>
            <w:tcW w:w="2787" w:type="dxa"/>
            <w:shd w:val="clear" w:color="auto" w:fill="auto"/>
          </w:tcPr>
          <w:p w:rsidR="00D861A8" w:rsidRPr="00B14352" w:rsidRDefault="00D861A8" w:rsidP="009C1D08">
            <w:pPr>
              <w:tabs>
                <w:tab w:val="left" w:pos="1466"/>
              </w:tabs>
              <w:adjustRightInd w:val="0"/>
              <w:snapToGrid w:val="0"/>
              <w:spacing w:line="360" w:lineRule="exact"/>
              <w:ind w:left="190" w:rightChars="12" w:right="29" w:hangingChars="79" w:hanging="190"/>
              <w:jc w:val="both"/>
              <w:rPr>
                <w:rFonts w:ascii="標楷體" w:eastAsia="標楷體" w:hAnsi="標楷體"/>
                <w:bCs/>
                <w:color w:val="000000"/>
              </w:rPr>
            </w:pPr>
            <w:r w:rsidRPr="00B14352">
              <w:rPr>
                <w:rFonts w:ascii="標楷體" w:eastAsia="標楷體" w:hAnsi="標楷體" w:hint="eastAsia"/>
                <w:bCs/>
                <w:color w:val="000000"/>
              </w:rPr>
              <w:lastRenderedPageBreak/>
              <w:t>第</w:t>
            </w:r>
            <w:r>
              <w:rPr>
                <w:rFonts w:ascii="標楷體" w:eastAsia="標楷體" w:hAnsi="標楷體" w:hint="eastAsia"/>
                <w:bCs/>
                <w:color w:val="000000"/>
              </w:rPr>
              <w:t>二十五</w:t>
            </w:r>
            <w:r w:rsidRPr="00B14352">
              <w:rPr>
                <w:rFonts w:ascii="標楷體" w:eastAsia="標楷體" w:hAnsi="標楷體" w:hint="eastAsia"/>
                <w:bCs/>
                <w:color w:val="000000"/>
              </w:rPr>
              <w:t>條   證券投資信託事業申請投資外國事業，除法令另有規定者外，應符合下列各款之規定：</w:t>
            </w:r>
          </w:p>
          <w:p w:rsidR="00D861A8" w:rsidRPr="00B14352" w:rsidRDefault="00D861A8" w:rsidP="009C1D08">
            <w:pPr>
              <w:adjustRightInd w:val="0"/>
              <w:snapToGrid w:val="0"/>
              <w:spacing w:line="360" w:lineRule="exact"/>
              <w:ind w:leftChars="100" w:left="271" w:rightChars="12" w:right="29" w:hangingChars="13" w:hanging="31"/>
              <w:jc w:val="both"/>
              <w:rPr>
                <w:rFonts w:ascii="標楷體" w:eastAsia="標楷體" w:hAnsi="標楷體"/>
                <w:bCs/>
                <w:color w:val="000000"/>
              </w:rPr>
            </w:pPr>
            <w:r w:rsidRPr="00B14352">
              <w:rPr>
                <w:rFonts w:ascii="標楷體" w:eastAsia="標楷體" w:hAnsi="標楷體" w:hint="eastAsia"/>
                <w:bCs/>
                <w:color w:val="000000"/>
              </w:rPr>
              <w:t>一、營業滿二年。</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二、最近三個月未曾受本法第一百零三條第一款或證券交易法第六十六條第一款規定之處分。</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三、最近半年未曾受本法第一百零三條第二款、第三款或證券交易法第六    十六條第二款規定之處分。</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四、最近一年未曾受本法第一百零三條第四款或證券交易法第六十六條第三款規定之處分。</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五、最近二年未曾受本法第一百零三條第五款或證券交易法第六十六條第四款規定之處分。</w:t>
            </w:r>
          </w:p>
          <w:p w:rsidR="00D861A8" w:rsidRPr="00B14352" w:rsidRDefault="00D861A8" w:rsidP="009C1D08">
            <w:pPr>
              <w:adjustRightInd w:val="0"/>
              <w:snapToGrid w:val="0"/>
              <w:spacing w:line="360" w:lineRule="exact"/>
              <w:ind w:leftChars="50" w:left="631" w:rightChars="12" w:right="29" w:hangingChars="213" w:hanging="511"/>
              <w:jc w:val="both"/>
              <w:rPr>
                <w:rFonts w:ascii="標楷體" w:eastAsia="標楷體" w:hAnsi="標楷體"/>
                <w:bCs/>
                <w:color w:val="000000"/>
              </w:rPr>
            </w:pPr>
            <w:r w:rsidRPr="00B14352">
              <w:rPr>
                <w:rFonts w:ascii="標楷體" w:eastAsia="標楷體" w:hAnsi="標楷體" w:hint="eastAsia"/>
                <w:bCs/>
                <w:color w:val="000000"/>
              </w:rPr>
              <w:t>六、最近期經會計師查核簽證之財務報告，每股淨值不低</w:t>
            </w:r>
            <w:r w:rsidRPr="00B14352">
              <w:rPr>
                <w:rFonts w:ascii="標楷體" w:eastAsia="標楷體" w:hAnsi="標楷體" w:hint="eastAsia"/>
                <w:bCs/>
                <w:color w:val="000000"/>
              </w:rPr>
              <w:lastRenderedPageBreak/>
              <w:t>於面額。</w:t>
            </w:r>
          </w:p>
          <w:p w:rsidR="00D861A8" w:rsidRPr="00B14352" w:rsidRDefault="00D861A8" w:rsidP="009C1D08">
            <w:pPr>
              <w:adjustRightInd w:val="0"/>
              <w:snapToGrid w:val="0"/>
              <w:spacing w:line="360" w:lineRule="exact"/>
              <w:ind w:leftChars="100" w:left="631" w:rightChars="12" w:right="29" w:hangingChars="163" w:hanging="391"/>
              <w:jc w:val="both"/>
              <w:rPr>
                <w:rFonts w:ascii="標楷體" w:eastAsia="標楷體" w:hAnsi="標楷體"/>
                <w:bCs/>
                <w:color w:val="000000"/>
              </w:rPr>
            </w:pPr>
            <w:r w:rsidRPr="00B14352">
              <w:rPr>
                <w:rFonts w:ascii="標楷體" w:eastAsia="標楷體" w:hAnsi="標楷體" w:hint="eastAsia"/>
                <w:bCs/>
                <w:color w:val="000000"/>
              </w:rPr>
              <w:t>七、投資外國事業及大陸地區證券投資基金管理公司之總金額，不得超過    證券投資信託事業淨值百分之四十。但有特殊需要經專案核准者，</w:t>
            </w:r>
            <w:proofErr w:type="gramStart"/>
            <w:r w:rsidRPr="00B14352">
              <w:rPr>
                <w:rFonts w:ascii="標楷體" w:eastAsia="標楷體" w:hAnsi="標楷體" w:hint="eastAsia"/>
                <w:bCs/>
                <w:color w:val="000000"/>
              </w:rPr>
              <w:t>不</w:t>
            </w:r>
            <w:proofErr w:type="gramEnd"/>
            <w:r w:rsidRPr="00B14352">
              <w:rPr>
                <w:rFonts w:ascii="標楷體" w:eastAsia="標楷體" w:hAnsi="標楷體" w:hint="eastAsia"/>
                <w:bCs/>
                <w:color w:val="000000"/>
              </w:rPr>
              <w:t xml:space="preserve">    在此限。</w:t>
            </w:r>
          </w:p>
          <w:p w:rsidR="00D861A8" w:rsidRPr="00B14352" w:rsidRDefault="00D861A8" w:rsidP="009C1D08">
            <w:pPr>
              <w:adjustRightInd w:val="0"/>
              <w:snapToGrid w:val="0"/>
              <w:spacing w:line="360" w:lineRule="exact"/>
              <w:ind w:leftChars="100" w:left="240" w:rightChars="12" w:right="29" w:firstLineChars="206" w:firstLine="494"/>
              <w:jc w:val="both"/>
              <w:rPr>
                <w:rFonts w:ascii="標楷體" w:eastAsia="標楷體" w:hAnsi="標楷體"/>
                <w:bCs/>
                <w:color w:val="000000"/>
              </w:rPr>
            </w:pPr>
            <w:r w:rsidRPr="00B14352">
              <w:rPr>
                <w:rFonts w:ascii="標楷體" w:eastAsia="標楷體" w:hAnsi="標楷體" w:hint="eastAsia"/>
                <w:bCs/>
                <w:color w:val="000000"/>
              </w:rPr>
              <w:t>證券投資信託事業不符合前項第二款至第五款規定，其違法情事已具體改善並經本會認可者，不適用各該款規定。</w:t>
            </w:r>
          </w:p>
          <w:p w:rsidR="00D861A8" w:rsidRPr="00022A72" w:rsidRDefault="00D861A8" w:rsidP="009C1D08">
            <w:pPr>
              <w:adjustRightInd w:val="0"/>
              <w:snapToGrid w:val="0"/>
              <w:spacing w:line="360" w:lineRule="exact"/>
              <w:ind w:leftChars="100" w:left="240" w:rightChars="12" w:right="29" w:firstLineChars="200" w:firstLine="480"/>
              <w:jc w:val="both"/>
              <w:rPr>
                <w:rFonts w:ascii="標楷體" w:eastAsia="標楷體" w:hAnsi="標楷體"/>
                <w:bCs/>
                <w:color w:val="000000"/>
              </w:rPr>
            </w:pPr>
            <w:r w:rsidRPr="00B14352">
              <w:rPr>
                <w:rFonts w:ascii="標楷體" w:eastAsia="標楷體" w:hAnsi="標楷體" w:hint="eastAsia"/>
                <w:bCs/>
                <w:color w:val="000000"/>
                <w:u w:val="single"/>
              </w:rPr>
              <w:t>證券投資信託事業投資外國及大陸事業，應以該證券投資信託事業所營事業為限。</w:t>
            </w:r>
          </w:p>
        </w:tc>
        <w:tc>
          <w:tcPr>
            <w:tcW w:w="2788" w:type="dxa"/>
            <w:shd w:val="clear" w:color="auto" w:fill="auto"/>
          </w:tcPr>
          <w:p w:rsidR="00D861A8" w:rsidRPr="00022A72" w:rsidRDefault="00D861A8" w:rsidP="009C1D08">
            <w:pPr>
              <w:jc w:val="both"/>
              <w:rPr>
                <w:rFonts w:eastAsia="標楷體"/>
                <w:color w:val="000000"/>
              </w:rPr>
            </w:pPr>
            <w:r>
              <w:rPr>
                <w:rFonts w:eastAsia="標楷體" w:hint="eastAsia"/>
                <w:color w:val="000000"/>
              </w:rPr>
              <w:lastRenderedPageBreak/>
              <w:t>考量證券投資信託事業</w:t>
            </w:r>
            <w:r w:rsidRPr="009744B6">
              <w:rPr>
                <w:rFonts w:eastAsia="標楷體" w:hint="eastAsia"/>
                <w:color w:val="000000"/>
              </w:rPr>
              <w:t>投資外國及大陸</w:t>
            </w:r>
            <w:r>
              <w:rPr>
                <w:rFonts w:eastAsia="標楷體" w:hint="eastAsia"/>
                <w:color w:val="000000"/>
              </w:rPr>
              <w:t>事業，除投資於本業外，尚有投資證券相關或其它產業之需求，為提升轉投資之效能，</w:t>
            </w:r>
            <w:proofErr w:type="gramStart"/>
            <w:r>
              <w:rPr>
                <w:rFonts w:eastAsia="標楷體" w:hint="eastAsia"/>
                <w:color w:val="000000"/>
              </w:rPr>
              <w:t>爰</w:t>
            </w:r>
            <w:proofErr w:type="gramEnd"/>
            <w:r>
              <w:rPr>
                <w:rFonts w:eastAsia="標楷體" w:hint="eastAsia"/>
                <w:color w:val="000000"/>
              </w:rPr>
              <w:t>刪除第三項有關</w:t>
            </w:r>
            <w:r w:rsidRPr="00A7462E">
              <w:rPr>
                <w:rFonts w:eastAsia="標楷體" w:hint="eastAsia"/>
                <w:color w:val="000000"/>
              </w:rPr>
              <w:t>證券投資信託事業投資外國及大陸事業，應以該證券投資信託事業所營事業為限</w:t>
            </w:r>
            <w:r>
              <w:rPr>
                <w:rFonts w:eastAsia="標楷體" w:hint="eastAsia"/>
                <w:color w:val="000000"/>
              </w:rPr>
              <w:t>之規定。</w:t>
            </w:r>
          </w:p>
        </w:tc>
      </w:tr>
    </w:tbl>
    <w:p w:rsidR="00D861A8" w:rsidRPr="00195244" w:rsidRDefault="00D861A8" w:rsidP="00D861A8">
      <w:pPr>
        <w:spacing w:line="460" w:lineRule="exact"/>
        <w:ind w:rightChars="-163" w:right="-391"/>
        <w:rPr>
          <w:rFonts w:ascii="標楷體" w:eastAsia="標楷體" w:hAnsi="標楷體"/>
          <w:color w:val="000000"/>
        </w:rPr>
      </w:pPr>
    </w:p>
    <w:p w:rsidR="009054CB" w:rsidRPr="00D861A8" w:rsidRDefault="009054CB"/>
    <w:sectPr w:rsidR="009054CB" w:rsidRPr="00D861A8">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0B" w:rsidRDefault="007B250B">
      <w:r>
        <w:separator/>
      </w:r>
    </w:p>
  </w:endnote>
  <w:endnote w:type="continuationSeparator" w:id="0">
    <w:p w:rsidR="007B250B" w:rsidRDefault="007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D3" w:rsidRDefault="006625B3" w:rsidP="00DF54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58D3" w:rsidRDefault="007B25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10930"/>
      <w:docPartObj>
        <w:docPartGallery w:val="Page Numbers (Bottom of Page)"/>
        <w:docPartUnique/>
      </w:docPartObj>
    </w:sdtPr>
    <w:sdtEndPr/>
    <w:sdtContent>
      <w:p w:rsidR="005B46D3" w:rsidRDefault="005B46D3">
        <w:pPr>
          <w:pStyle w:val="a3"/>
          <w:jc w:val="center"/>
        </w:pPr>
        <w:r>
          <w:fldChar w:fldCharType="begin"/>
        </w:r>
        <w:r>
          <w:instrText>PAGE   \* MERGEFORMAT</w:instrText>
        </w:r>
        <w:r>
          <w:fldChar w:fldCharType="separate"/>
        </w:r>
        <w:r w:rsidR="00A83607" w:rsidRPr="00A83607">
          <w:rPr>
            <w:noProof/>
            <w:lang w:val="zh-TW"/>
          </w:rPr>
          <w:t>1</w:t>
        </w:r>
        <w:r>
          <w:fldChar w:fldCharType="end"/>
        </w:r>
      </w:p>
    </w:sdtContent>
  </w:sdt>
  <w:p w:rsidR="005B46D3" w:rsidRDefault="005B46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0B" w:rsidRDefault="007B250B">
      <w:r>
        <w:separator/>
      </w:r>
    </w:p>
  </w:footnote>
  <w:footnote w:type="continuationSeparator" w:id="0">
    <w:p w:rsidR="007B250B" w:rsidRDefault="007B2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333C"/>
    <w:multiLevelType w:val="hybridMultilevel"/>
    <w:tmpl w:val="C8FAB72A"/>
    <w:lvl w:ilvl="0" w:tplc="2D104B9A">
      <w:start w:val="1"/>
      <w:numFmt w:val="taiwaneseCountingThousand"/>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B3"/>
    <w:rsid w:val="000B3B8A"/>
    <w:rsid w:val="000D2AD6"/>
    <w:rsid w:val="000F4EB3"/>
    <w:rsid w:val="00120584"/>
    <w:rsid w:val="001A24FE"/>
    <w:rsid w:val="003640A8"/>
    <w:rsid w:val="00446191"/>
    <w:rsid w:val="00596AFA"/>
    <w:rsid w:val="005B46D3"/>
    <w:rsid w:val="005E062E"/>
    <w:rsid w:val="00613D93"/>
    <w:rsid w:val="006625B3"/>
    <w:rsid w:val="00760DE7"/>
    <w:rsid w:val="007611B2"/>
    <w:rsid w:val="007B250B"/>
    <w:rsid w:val="007F2F49"/>
    <w:rsid w:val="008B37EC"/>
    <w:rsid w:val="008C7289"/>
    <w:rsid w:val="008E3468"/>
    <w:rsid w:val="008F3EB7"/>
    <w:rsid w:val="008F64FD"/>
    <w:rsid w:val="009054CB"/>
    <w:rsid w:val="00951C98"/>
    <w:rsid w:val="009744B6"/>
    <w:rsid w:val="00A014AA"/>
    <w:rsid w:val="00A576CA"/>
    <w:rsid w:val="00A7462E"/>
    <w:rsid w:val="00A80072"/>
    <w:rsid w:val="00A83607"/>
    <w:rsid w:val="00AA29FD"/>
    <w:rsid w:val="00AC0E73"/>
    <w:rsid w:val="00AD2828"/>
    <w:rsid w:val="00B05740"/>
    <w:rsid w:val="00B14352"/>
    <w:rsid w:val="00B26233"/>
    <w:rsid w:val="00B30DBD"/>
    <w:rsid w:val="00B357A1"/>
    <w:rsid w:val="00C64B17"/>
    <w:rsid w:val="00CE20AD"/>
    <w:rsid w:val="00D447FC"/>
    <w:rsid w:val="00D861A8"/>
    <w:rsid w:val="00DB70AC"/>
    <w:rsid w:val="00E5201A"/>
    <w:rsid w:val="00E97754"/>
    <w:rsid w:val="00EB4028"/>
    <w:rsid w:val="00ED163E"/>
    <w:rsid w:val="00F65075"/>
    <w:rsid w:val="00F86F35"/>
    <w:rsid w:val="00FE6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5B3"/>
    <w:pPr>
      <w:tabs>
        <w:tab w:val="center" w:pos="4153"/>
        <w:tab w:val="right" w:pos="8306"/>
      </w:tabs>
      <w:snapToGrid w:val="0"/>
    </w:pPr>
    <w:rPr>
      <w:sz w:val="20"/>
      <w:szCs w:val="20"/>
    </w:rPr>
  </w:style>
  <w:style w:type="character" w:customStyle="1" w:styleId="a4">
    <w:name w:val="頁尾 字元"/>
    <w:basedOn w:val="a0"/>
    <w:link w:val="a3"/>
    <w:uiPriority w:val="99"/>
    <w:rsid w:val="006625B3"/>
    <w:rPr>
      <w:rFonts w:ascii="Times New Roman" w:eastAsia="新細明體" w:hAnsi="Times New Roman" w:cs="Times New Roman"/>
      <w:sz w:val="20"/>
      <w:szCs w:val="20"/>
    </w:rPr>
  </w:style>
  <w:style w:type="character" w:styleId="a5">
    <w:name w:val="page number"/>
    <w:basedOn w:val="a0"/>
    <w:rsid w:val="006625B3"/>
  </w:style>
  <w:style w:type="paragraph" w:styleId="a6">
    <w:name w:val="header"/>
    <w:basedOn w:val="a"/>
    <w:link w:val="a7"/>
    <w:unhideWhenUsed/>
    <w:rsid w:val="005B46D3"/>
    <w:pPr>
      <w:tabs>
        <w:tab w:val="center" w:pos="4153"/>
        <w:tab w:val="right" w:pos="8306"/>
      </w:tabs>
      <w:snapToGrid w:val="0"/>
    </w:pPr>
    <w:rPr>
      <w:sz w:val="20"/>
      <w:szCs w:val="20"/>
    </w:rPr>
  </w:style>
  <w:style w:type="character" w:customStyle="1" w:styleId="a7">
    <w:name w:val="頁首 字元"/>
    <w:basedOn w:val="a0"/>
    <w:link w:val="a6"/>
    <w:uiPriority w:val="99"/>
    <w:rsid w:val="005B46D3"/>
    <w:rPr>
      <w:rFonts w:ascii="Times New Roman" w:eastAsia="新細明體" w:hAnsi="Times New Roman" w:cs="Times New Roman"/>
      <w:sz w:val="20"/>
      <w:szCs w:val="20"/>
    </w:rPr>
  </w:style>
  <w:style w:type="paragraph" w:styleId="a8">
    <w:name w:val="Balloon Text"/>
    <w:basedOn w:val="a"/>
    <w:link w:val="a9"/>
    <w:uiPriority w:val="99"/>
    <w:semiHidden/>
    <w:unhideWhenUsed/>
    <w:rsid w:val="00951C9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1C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5B3"/>
    <w:pPr>
      <w:tabs>
        <w:tab w:val="center" w:pos="4153"/>
        <w:tab w:val="right" w:pos="8306"/>
      </w:tabs>
      <w:snapToGrid w:val="0"/>
    </w:pPr>
    <w:rPr>
      <w:sz w:val="20"/>
      <w:szCs w:val="20"/>
    </w:rPr>
  </w:style>
  <w:style w:type="character" w:customStyle="1" w:styleId="a4">
    <w:name w:val="頁尾 字元"/>
    <w:basedOn w:val="a0"/>
    <w:link w:val="a3"/>
    <w:uiPriority w:val="99"/>
    <w:rsid w:val="006625B3"/>
    <w:rPr>
      <w:rFonts w:ascii="Times New Roman" w:eastAsia="新細明體" w:hAnsi="Times New Roman" w:cs="Times New Roman"/>
      <w:sz w:val="20"/>
      <w:szCs w:val="20"/>
    </w:rPr>
  </w:style>
  <w:style w:type="character" w:styleId="a5">
    <w:name w:val="page number"/>
    <w:basedOn w:val="a0"/>
    <w:rsid w:val="006625B3"/>
  </w:style>
  <w:style w:type="paragraph" w:styleId="a6">
    <w:name w:val="header"/>
    <w:basedOn w:val="a"/>
    <w:link w:val="a7"/>
    <w:unhideWhenUsed/>
    <w:rsid w:val="005B46D3"/>
    <w:pPr>
      <w:tabs>
        <w:tab w:val="center" w:pos="4153"/>
        <w:tab w:val="right" w:pos="8306"/>
      </w:tabs>
      <w:snapToGrid w:val="0"/>
    </w:pPr>
    <w:rPr>
      <w:sz w:val="20"/>
      <w:szCs w:val="20"/>
    </w:rPr>
  </w:style>
  <w:style w:type="character" w:customStyle="1" w:styleId="a7">
    <w:name w:val="頁首 字元"/>
    <w:basedOn w:val="a0"/>
    <w:link w:val="a6"/>
    <w:uiPriority w:val="99"/>
    <w:rsid w:val="005B46D3"/>
    <w:rPr>
      <w:rFonts w:ascii="Times New Roman" w:eastAsia="新細明體" w:hAnsi="Times New Roman" w:cs="Times New Roman"/>
      <w:sz w:val="20"/>
      <w:szCs w:val="20"/>
    </w:rPr>
  </w:style>
  <w:style w:type="paragraph" w:styleId="a8">
    <w:name w:val="Balloon Text"/>
    <w:basedOn w:val="a"/>
    <w:link w:val="a9"/>
    <w:uiPriority w:val="99"/>
    <w:semiHidden/>
    <w:unhideWhenUsed/>
    <w:rsid w:val="00951C9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1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高玉菁pfs</dc:creator>
  <cp:lastModifiedBy>曾煌鈞n85</cp:lastModifiedBy>
  <cp:revision>3</cp:revision>
  <cp:lastPrinted>2014-09-24T02:30:00Z</cp:lastPrinted>
  <dcterms:created xsi:type="dcterms:W3CDTF">2014-11-18T02:16:00Z</dcterms:created>
  <dcterms:modified xsi:type="dcterms:W3CDTF">2014-11-27T03:07:00Z</dcterms:modified>
</cp:coreProperties>
</file>