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C41" w14:textId="5761F6DC" w:rsidR="004B0C3B" w:rsidRPr="001F6D4D" w:rsidRDefault="004B0C3B" w:rsidP="001F6D4D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1A175AB5" w:rsidR="004B0C3B" w:rsidRPr="001F6D4D" w:rsidRDefault="006A205C">
      <w:pPr>
        <w:snapToGrid w:val="0"/>
        <w:spacing w:line="520" w:lineRule="atLeast"/>
        <w:ind w:firstLine="1208"/>
        <w:jc w:val="right"/>
        <w:rPr>
          <w:sz w:val="40"/>
        </w:rPr>
      </w:pPr>
      <w:r w:rsidRPr="006A205C">
        <w:rPr>
          <w:rFonts w:eastAsia="新細明體"/>
          <w:sz w:val="32"/>
        </w:rPr>
        <w:t>August</w:t>
      </w:r>
      <w:r w:rsidR="004B0C3B" w:rsidRPr="001F6D4D">
        <w:rPr>
          <w:rFonts w:eastAsia="SimSun"/>
          <w:sz w:val="32"/>
          <w:lang w:eastAsia="zh-CN"/>
        </w:rPr>
        <w:t xml:space="preserve"> 5, 2024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73AC2932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Ju</w:t>
            </w:r>
            <w:r w:rsidR="006A205C">
              <w:rPr>
                <w:rFonts w:eastAsia="新細明體" w:hint="eastAsia"/>
                <w:sz w:val="32"/>
              </w:rPr>
              <w:t>ly</w:t>
            </w:r>
            <w:r w:rsidRPr="001F6D4D">
              <w:rPr>
                <w:rFonts w:eastAsia="SimSun"/>
                <w:sz w:val="32"/>
                <w:lang w:eastAsia="zh-CN"/>
              </w:rPr>
              <w:t xml:space="preserve"> 2024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1F6D4D" w:rsidRPr="001F6D4D" w14:paraId="55B29CE4" w14:textId="77777777" w:rsidTr="00AF3A9D">
        <w:tc>
          <w:tcPr>
            <w:tcW w:w="1446" w:type="dxa"/>
          </w:tcPr>
          <w:p w14:paraId="0DA31B45" w14:textId="77777777" w:rsidR="001F6D4D" w:rsidRPr="001F6D4D" w:rsidRDefault="001F6D4D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1F6D4D" w:rsidRPr="001F6D4D" w:rsidRDefault="001F6D4D" w:rsidP="00AF3A9D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0C5409BC" w:rsidR="001F6D4D" w:rsidRPr="00235501" w:rsidRDefault="00235501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93</w:t>
            </w:r>
          </w:p>
        </w:tc>
      </w:tr>
      <w:tr w:rsidR="001F6D4D" w:rsidRPr="001F6D4D" w14:paraId="6D4B4981" w14:textId="77777777" w:rsidTr="00AF3A9D">
        <w:tc>
          <w:tcPr>
            <w:tcW w:w="1446" w:type="dxa"/>
          </w:tcPr>
          <w:p w14:paraId="4039ABA6" w14:textId="77777777" w:rsidR="001F6D4D" w:rsidRPr="001F6D4D" w:rsidRDefault="001F6D4D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1F6D4D" w:rsidRPr="001F6D4D" w:rsidRDefault="001F6D4D" w:rsidP="00AF3A9D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7AB4C67A" w:rsidR="001F6D4D" w:rsidRPr="00235501" w:rsidRDefault="00235501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1F6D4D" w:rsidRPr="001F6D4D" w14:paraId="696790F9" w14:textId="77777777" w:rsidTr="00AF3A9D">
        <w:tc>
          <w:tcPr>
            <w:tcW w:w="1446" w:type="dxa"/>
          </w:tcPr>
          <w:p w14:paraId="7C4FB952" w14:textId="77777777" w:rsidR="001F6D4D" w:rsidRPr="001F6D4D" w:rsidRDefault="001F6D4D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1F6D4D" w:rsidRPr="001F6D4D" w:rsidRDefault="002A59A1" w:rsidP="00AF3A9D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="001F6D4D"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="001F6D4D"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="001F6D4D"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20DB94FB" w:rsidR="001F6D4D" w:rsidRPr="00235501" w:rsidRDefault="00235501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4</w:t>
            </w:r>
          </w:p>
        </w:tc>
      </w:tr>
      <w:tr w:rsidR="001F6D4D" w:rsidRPr="001F6D4D" w14:paraId="0F15E39F" w14:textId="77777777" w:rsidTr="00AF3A9D">
        <w:tc>
          <w:tcPr>
            <w:tcW w:w="1446" w:type="dxa"/>
          </w:tcPr>
          <w:p w14:paraId="4531939F" w14:textId="77777777" w:rsidR="001F6D4D" w:rsidRPr="001F6D4D" w:rsidRDefault="001F6D4D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1F6D4D" w:rsidRPr="001F6D4D" w:rsidRDefault="001F6D4D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7E442D0C" w:rsidR="001F6D4D" w:rsidRPr="00235501" w:rsidRDefault="001F6D4D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/>
                <w:kern w:val="2"/>
                <w:sz w:val="32"/>
                <w:szCs w:val="20"/>
                <w:lang w:eastAsia="zh-TW"/>
              </w:rPr>
              <w:t>3</w:t>
            </w:r>
            <w:r w:rsidR="00235501" w:rsidRPr="00235501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40</w:t>
            </w:r>
          </w:p>
        </w:tc>
      </w:tr>
      <w:tr w:rsidR="001F6D4D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1F6D4D" w:rsidRPr="001F6D4D" w:rsidRDefault="001F6D4D" w:rsidP="00AF3A9D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1F6D4D" w:rsidRPr="00235501" w:rsidRDefault="001F6D4D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7AEC6E04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1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612"/>
        <w:gridCol w:w="2233"/>
        <w:gridCol w:w="2094"/>
      </w:tblGrid>
      <w:tr w:rsidR="002C618B" w:rsidRPr="002C618B" w14:paraId="1C3C4BD8" w14:textId="77777777" w:rsidTr="002C618B">
        <w:trPr>
          <w:trHeight w:val="754"/>
        </w:trPr>
        <w:tc>
          <w:tcPr>
            <w:tcW w:w="4313" w:type="dxa"/>
            <w:gridSpan w:val="2"/>
            <w:vAlign w:val="center"/>
          </w:tcPr>
          <w:p w14:paraId="67F01C15" w14:textId="3288E59C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As of </w:t>
            </w:r>
            <w:proofErr w:type="gramStart"/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Ju</w:t>
            </w:r>
            <w:r w:rsidR="00B1022F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ly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3</w:t>
            </w:r>
            <w:r w:rsidR="00B1022F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1</w:t>
            </w:r>
            <w:proofErr w:type="gramEnd"/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in 2024</w:t>
            </w:r>
          </w:p>
        </w:tc>
        <w:tc>
          <w:tcPr>
            <w:tcW w:w="2233" w:type="dxa"/>
            <w:vAlign w:val="center"/>
          </w:tcPr>
          <w:p w14:paraId="01724193" w14:textId="4856BAE2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TWSE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vAlign w:val="center"/>
          </w:tcPr>
          <w:p w14:paraId="174A661E" w14:textId="62FB37E1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proofErr w:type="spellStart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</w:t>
            </w:r>
            <w:proofErr w:type="spellEnd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</w:tr>
      <w:tr w:rsidR="002C618B" w:rsidRPr="002C618B" w14:paraId="6915F8C2" w14:textId="77777777" w:rsidTr="002C618B">
        <w:tc>
          <w:tcPr>
            <w:tcW w:w="1701" w:type="dxa"/>
            <w:vMerge w:val="restart"/>
            <w:vAlign w:val="center"/>
          </w:tcPr>
          <w:p w14:paraId="50364C43" w14:textId="77777777" w:rsidR="001F6D4D" w:rsidRPr="002C618B" w:rsidRDefault="001F6D4D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612" w:type="dxa"/>
          </w:tcPr>
          <w:p w14:paraId="4E187DAB" w14:textId="5EA92675" w:rsidR="001F6D4D" w:rsidRPr="002C618B" w:rsidRDefault="001F6D4D" w:rsidP="00AF3A9D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="002C618B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</w:tcPr>
          <w:p w14:paraId="1C99EAAE" w14:textId="1076488C" w:rsidR="001F6D4D" w:rsidRPr="002C618B" w:rsidRDefault="001F6D4D" w:rsidP="00AF3A9D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1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464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</w:p>
        </w:tc>
        <w:tc>
          <w:tcPr>
            <w:tcW w:w="2094" w:type="dxa"/>
          </w:tcPr>
          <w:p w14:paraId="57CCDBB8" w14:textId="47C339B5" w:rsidR="001F6D4D" w:rsidRPr="002C618B" w:rsidRDefault="00235501" w:rsidP="00AF3A9D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158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1F6D4D"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7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</w:p>
        </w:tc>
      </w:tr>
      <w:tr w:rsidR="002C618B" w:rsidRPr="002C618B" w14:paraId="43EB2889" w14:textId="77777777" w:rsidTr="002C618B">
        <w:tc>
          <w:tcPr>
            <w:tcW w:w="1701" w:type="dxa"/>
            <w:vMerge/>
          </w:tcPr>
          <w:p w14:paraId="0AF51F4B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78BE3A8A" w14:textId="501B9375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="002C618B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shd w:val="clear" w:color="auto" w:fill="auto"/>
          </w:tcPr>
          <w:p w14:paraId="34D8A61C" w14:textId="70BCF58E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715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14</w:t>
            </w:r>
          </w:p>
        </w:tc>
        <w:tc>
          <w:tcPr>
            <w:tcW w:w="2094" w:type="dxa"/>
            <w:shd w:val="clear" w:color="auto" w:fill="auto"/>
          </w:tcPr>
          <w:p w14:paraId="76696240" w14:textId="5CBFDE62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218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24</w:t>
            </w:r>
          </w:p>
        </w:tc>
      </w:tr>
      <w:tr w:rsidR="002C618B" w:rsidRPr="002C618B" w14:paraId="5FB8D387" w14:textId="77777777" w:rsidTr="002C618B">
        <w:tc>
          <w:tcPr>
            <w:tcW w:w="1701" w:type="dxa"/>
            <w:vMerge/>
          </w:tcPr>
          <w:p w14:paraId="2F7EF034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33D1CBF7" w14:textId="241BD121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="002C618B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128A8ABD" w14:textId="0977C282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(250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57)</w:t>
            </w:r>
          </w:p>
        </w:tc>
        <w:tc>
          <w:tcPr>
            <w:tcW w:w="2094" w:type="dxa"/>
            <w:shd w:val="clear" w:color="auto" w:fill="auto"/>
          </w:tcPr>
          <w:p w14:paraId="67F93D7D" w14:textId="2249DC28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2C618B" w:rsidRPr="002C618B" w14:paraId="080D4FB0" w14:textId="77777777" w:rsidTr="002C618B">
        <w:tc>
          <w:tcPr>
            <w:tcW w:w="1701" w:type="dxa"/>
            <w:vMerge w:val="restart"/>
            <w:vAlign w:val="center"/>
          </w:tcPr>
          <w:p w14:paraId="5097CA31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612" w:type="dxa"/>
          </w:tcPr>
          <w:p w14:paraId="6A34A612" w14:textId="3AA8C685" w:rsidR="00235501" w:rsidRPr="002C618B" w:rsidRDefault="002C618B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shd w:val="clear" w:color="auto" w:fill="auto"/>
          </w:tcPr>
          <w:p w14:paraId="00D3EC71" w14:textId="45FBE40F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31</w:t>
            </w:r>
          </w:p>
        </w:tc>
        <w:tc>
          <w:tcPr>
            <w:tcW w:w="2094" w:type="dxa"/>
            <w:shd w:val="clear" w:color="auto" w:fill="auto"/>
          </w:tcPr>
          <w:p w14:paraId="5D224DBE" w14:textId="70C50CB9" w:rsidR="00235501" w:rsidRPr="002C618B" w:rsidRDefault="002C618B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</w:p>
        </w:tc>
      </w:tr>
      <w:tr w:rsidR="002C618B" w:rsidRPr="002C618B" w14:paraId="288A0096" w14:textId="77777777" w:rsidTr="002C618B">
        <w:tc>
          <w:tcPr>
            <w:tcW w:w="1701" w:type="dxa"/>
            <w:vMerge/>
          </w:tcPr>
          <w:p w14:paraId="01B6D3D4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5DE92B07" w14:textId="632BAA45" w:rsidR="00235501" w:rsidRPr="002C618B" w:rsidRDefault="002C618B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shd w:val="clear" w:color="auto" w:fill="auto"/>
          </w:tcPr>
          <w:p w14:paraId="5524A288" w14:textId="5D66A605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14:paraId="797C16F7" w14:textId="5F8F2E6E" w:rsidR="00235501" w:rsidRPr="002C618B" w:rsidRDefault="002C618B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30</w:t>
            </w:r>
          </w:p>
        </w:tc>
      </w:tr>
      <w:tr w:rsidR="002C618B" w:rsidRPr="002C618B" w14:paraId="2D6D6679" w14:textId="77777777" w:rsidTr="002C618B">
        <w:tc>
          <w:tcPr>
            <w:tcW w:w="1701" w:type="dxa"/>
            <w:vMerge/>
          </w:tcPr>
          <w:p w14:paraId="514541E6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68FDF25D" w14:textId="40D61685" w:rsidR="00235501" w:rsidRPr="002C618B" w:rsidRDefault="002C618B" w:rsidP="00235501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7147C382" w14:textId="155061B2" w:rsidR="00235501" w:rsidRPr="002C618B" w:rsidRDefault="002C618B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0.59</w:t>
            </w:r>
          </w:p>
        </w:tc>
        <w:tc>
          <w:tcPr>
            <w:tcW w:w="2094" w:type="dxa"/>
            <w:shd w:val="clear" w:color="auto" w:fill="auto"/>
          </w:tcPr>
          <w:p w14:paraId="69243761" w14:textId="5475A06D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0.15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2C618B" w:rsidRPr="002C618B" w14:paraId="6F08030A" w14:textId="77777777" w:rsidTr="002C618B">
        <w:tc>
          <w:tcPr>
            <w:tcW w:w="1701" w:type="dxa"/>
          </w:tcPr>
          <w:p w14:paraId="5900E874" w14:textId="77777777" w:rsidR="00235501" w:rsidRPr="002C618B" w:rsidRDefault="00235501" w:rsidP="00235501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612" w:type="dxa"/>
          </w:tcPr>
          <w:p w14:paraId="12E28256" w14:textId="32BECCB0" w:rsidR="00235501" w:rsidRPr="002C618B" w:rsidRDefault="002C618B" w:rsidP="00235501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16AEC8B4" w14:textId="1007A7A1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(249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98)</w:t>
            </w:r>
          </w:p>
        </w:tc>
        <w:tc>
          <w:tcPr>
            <w:tcW w:w="2094" w:type="dxa"/>
            <w:shd w:val="clear" w:color="auto" w:fill="auto"/>
          </w:tcPr>
          <w:p w14:paraId="4A56625A" w14:textId="7F6AAA35" w:rsidR="00235501" w:rsidRPr="002C618B" w:rsidRDefault="00235501" w:rsidP="00235501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63)</w:t>
            </w:r>
          </w:p>
        </w:tc>
      </w:tr>
      <w:tr w:rsidR="002C618B" w:rsidRPr="002C618B" w14:paraId="10CF383C" w14:textId="77777777" w:rsidTr="002C618B">
        <w:tc>
          <w:tcPr>
            <w:tcW w:w="4313" w:type="dxa"/>
            <w:gridSpan w:val="2"/>
          </w:tcPr>
          <w:p w14:paraId="21698980" w14:textId="7A762118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="002C618B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</w:t>
            </w:r>
            <w:proofErr w:type="spellStart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</w:t>
            </w:r>
            <w:proofErr w:type="spellEnd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="00807DD7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27" w:type="dxa"/>
            <w:gridSpan w:val="2"/>
            <w:vAlign w:val="center"/>
          </w:tcPr>
          <w:p w14:paraId="68CCB882" w14:textId="6E7E7A64" w:rsidR="004B0C3B" w:rsidRPr="002C618B" w:rsidRDefault="00905E98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309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235501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61</w:t>
            </w:r>
            <w:r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>(Outward)</w:t>
      </w:r>
      <w:r w:rsidR="00F74020" w:rsidRPr="00F74020">
        <w:rPr>
          <w:rFonts w:eastAsia="SimSun" w:hint="eastAsia"/>
          <w:sz w:val="32"/>
          <w:lang w:eastAsia="zh-CN"/>
        </w:rPr>
        <w:t xml:space="preserve">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672F8CC6" w:rsidR="004B0C3B" w:rsidRPr="001F6D4D" w:rsidRDefault="004B0C3B" w:rsidP="002D0F8C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 Ju</w:t>
      </w:r>
      <w:r w:rsidR="00FD085B">
        <w:rPr>
          <w:rFonts w:ascii="Times New Roman" w:eastAsia="新細明體" w:hint="eastAsia"/>
        </w:rPr>
        <w:t>ly</w:t>
      </w:r>
      <w:r w:rsidRPr="001F6D4D">
        <w:rPr>
          <w:rFonts w:ascii="Times New Roman" w:eastAsia="SimSun"/>
          <w:lang w:eastAsia="zh-CN"/>
        </w:rPr>
        <w:t xml:space="preserve"> 2024</w:t>
      </w:r>
    </w:p>
    <w:p w14:paraId="52DD0A4C" w14:textId="58CE2BE2" w:rsidR="004B0C3B" w:rsidRPr="001F6D4D" w:rsidRDefault="004B0C3B">
      <w:pPr>
        <w:spacing w:line="600" w:lineRule="exact"/>
        <w:ind w:left="720" w:rightChars="58" w:right="139"/>
        <w:jc w:val="right"/>
        <w:rPr>
          <w:sz w:val="32"/>
        </w:rPr>
      </w:pPr>
      <w:r w:rsidRPr="001F6D4D">
        <w:rPr>
          <w:rFonts w:eastAsia="SimSun"/>
          <w:sz w:val="32"/>
          <w:lang w:eastAsia="zh-CN"/>
        </w:rPr>
        <w:t>Unit: USD</w:t>
      </w:r>
      <w:r w:rsidR="009B2A96" w:rsidRPr="009B2A96">
        <w:rPr>
          <w:rFonts w:eastAsia="SimSun"/>
          <w:sz w:val="32"/>
          <w:lang w:eastAsia="zh-CN"/>
        </w:rPr>
        <w:t>$</w:t>
      </w:r>
      <w:r w:rsidR="009B2A96" w:rsidRPr="009B2A96">
        <w:rPr>
          <w:rFonts w:eastAsia="新細明體"/>
          <w:sz w:val="32"/>
        </w:rPr>
        <w:t>1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9B2A96" w:rsidRPr="009B2A96" w14:paraId="4723B9CE" w14:textId="77777777" w:rsidTr="00D06B59">
        <w:trPr>
          <w:trHeight w:val="586"/>
        </w:trPr>
        <w:tc>
          <w:tcPr>
            <w:tcW w:w="3482" w:type="dxa"/>
          </w:tcPr>
          <w:bookmarkStart w:id="0" w:name="_Hlk170824652"/>
          <w:p w14:paraId="04E0EE96" w14:textId="4ACBC316" w:rsidR="004B0C3B" w:rsidRPr="009B2A96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31DDA3" wp14:editId="627C3CE2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CDE3F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442DB653" w14:textId="56B31968" w:rsidR="004B0C3B" w:rsidRPr="009B2A96" w:rsidRDefault="004B0C3B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9B2A96">
              <w:rPr>
                <w:rFonts w:eastAsia="SimSun"/>
                <w:sz w:val="32"/>
                <w:lang w:eastAsia="zh-CN"/>
              </w:rPr>
              <w:t>Ju</w:t>
            </w:r>
            <w:r w:rsidR="00FD085B" w:rsidRPr="009B2A96">
              <w:rPr>
                <w:rFonts w:eastAsia="新細明體" w:hint="eastAsia"/>
                <w:sz w:val="32"/>
              </w:rPr>
              <w:t>ly</w:t>
            </w:r>
            <w:r w:rsidRPr="009B2A96">
              <w:rPr>
                <w:rFonts w:eastAsia="SimSun"/>
                <w:sz w:val="32"/>
                <w:lang w:eastAsia="zh-CN"/>
              </w:rPr>
              <w:t xml:space="preserve"> 2024</w:t>
            </w:r>
          </w:p>
        </w:tc>
        <w:tc>
          <w:tcPr>
            <w:tcW w:w="3090" w:type="dxa"/>
            <w:vAlign w:val="center"/>
          </w:tcPr>
          <w:p w14:paraId="28B87315" w14:textId="23BD250A" w:rsidR="004B0C3B" w:rsidRPr="009B2A96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 xml:space="preserve">As of </w:t>
            </w:r>
            <w:proofErr w:type="gramStart"/>
            <w:r w:rsidRPr="009B2A96">
              <w:rPr>
                <w:rFonts w:eastAsia="SimSun"/>
                <w:sz w:val="32"/>
                <w:lang w:eastAsia="zh-CN"/>
              </w:rPr>
              <w:t>Ju</w:t>
            </w:r>
            <w:r w:rsidR="00FD085B" w:rsidRPr="009B2A96">
              <w:rPr>
                <w:rFonts w:eastAsia="新細明體" w:hint="eastAsia"/>
                <w:sz w:val="32"/>
              </w:rPr>
              <w:t>ly</w:t>
            </w:r>
            <w:r w:rsidRPr="009B2A96">
              <w:rPr>
                <w:rFonts w:eastAsia="SimSun"/>
                <w:sz w:val="32"/>
                <w:lang w:eastAsia="zh-CN"/>
              </w:rPr>
              <w:t xml:space="preserve"> 3</w:t>
            </w:r>
            <w:r w:rsidR="00FD085B" w:rsidRPr="009B2A96">
              <w:rPr>
                <w:rFonts w:eastAsia="新細明體" w:hint="eastAsia"/>
                <w:sz w:val="32"/>
              </w:rPr>
              <w:t>1</w:t>
            </w:r>
            <w:proofErr w:type="gramEnd"/>
            <w:r w:rsidRPr="009B2A96">
              <w:rPr>
                <w:rFonts w:eastAsia="SimSun"/>
                <w:sz w:val="32"/>
                <w:lang w:eastAsia="zh-CN"/>
              </w:rPr>
              <w:t xml:space="preserve"> in 2024</w:t>
            </w:r>
          </w:p>
        </w:tc>
      </w:tr>
      <w:tr w:rsidR="009B2A96" w:rsidRPr="009B2A96" w14:paraId="0435714F" w14:textId="77777777" w:rsidTr="00D06B59">
        <w:tc>
          <w:tcPr>
            <w:tcW w:w="3482" w:type="dxa"/>
          </w:tcPr>
          <w:p w14:paraId="409BF11F" w14:textId="7E6D6935" w:rsidR="001F6D4D" w:rsidRPr="00F74020" w:rsidRDefault="001F6D4D" w:rsidP="00AF3A9D">
            <w:pPr>
              <w:pStyle w:val="af3"/>
              <w:spacing w:line="0" w:lineRule="atLeast"/>
              <w:ind w:left="0"/>
              <w:rPr>
                <w:rFonts w:hint="eastAsia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="00F74020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="00F74020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="00807DD7"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remittance from offshore </w:t>
            </w:r>
            <w:r w:rsidR="00F74020"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vAlign w:val="center"/>
          </w:tcPr>
          <w:p w14:paraId="397E1192" w14:textId="562CCB61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09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vAlign w:val="center"/>
          </w:tcPr>
          <w:p w14:paraId="3474E9AD" w14:textId="0F8323A7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26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56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</w:p>
        </w:tc>
      </w:tr>
      <w:tr w:rsidR="009B2A96" w:rsidRPr="009B2A96" w14:paraId="4D64220F" w14:textId="77777777" w:rsidTr="00D06B59">
        <w:trPr>
          <w:trHeight w:val="674"/>
        </w:trPr>
        <w:tc>
          <w:tcPr>
            <w:tcW w:w="3482" w:type="dxa"/>
            <w:vAlign w:val="center"/>
          </w:tcPr>
          <w:p w14:paraId="1148A6EA" w14:textId="0EC84428" w:rsidR="001F6D4D" w:rsidRPr="009B2A96" w:rsidRDefault="001F6D4D" w:rsidP="00AF3A9D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="00F74020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="00F74020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="00807DD7"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="00807DD7"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>remittance from Mainland area investors</w:t>
            </w:r>
          </w:p>
        </w:tc>
        <w:tc>
          <w:tcPr>
            <w:tcW w:w="1985" w:type="dxa"/>
            <w:vAlign w:val="center"/>
          </w:tcPr>
          <w:p w14:paraId="2B380FDD" w14:textId="6E1A84D9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07</w:t>
            </w:r>
          </w:p>
        </w:tc>
        <w:tc>
          <w:tcPr>
            <w:tcW w:w="3090" w:type="dxa"/>
            <w:vAlign w:val="center"/>
          </w:tcPr>
          <w:p w14:paraId="20C5553F" w14:textId="535E689A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33</w:t>
            </w:r>
          </w:p>
        </w:tc>
      </w:tr>
      <w:tr w:rsidR="009B2A96" w:rsidRPr="009B2A96" w14:paraId="09E750F4" w14:textId="77777777" w:rsidTr="00D06B59">
        <w:trPr>
          <w:trHeight w:val="674"/>
        </w:trPr>
        <w:tc>
          <w:tcPr>
            <w:tcW w:w="3482" w:type="dxa"/>
            <w:vAlign w:val="center"/>
          </w:tcPr>
          <w:p w14:paraId="157B80EE" w14:textId="77777777" w:rsidR="001F6D4D" w:rsidRPr="009B2A96" w:rsidRDefault="001F6D4D" w:rsidP="00AF3A9D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vAlign w:val="center"/>
          </w:tcPr>
          <w:p w14:paraId="3E0DD805" w14:textId="30A5C248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702)</w:t>
            </w:r>
          </w:p>
        </w:tc>
        <w:tc>
          <w:tcPr>
            <w:tcW w:w="3090" w:type="dxa"/>
            <w:vAlign w:val="center"/>
          </w:tcPr>
          <w:p w14:paraId="3424FC14" w14:textId="44CAD7C6" w:rsidR="001F6D4D" w:rsidRPr="009B2A96" w:rsidRDefault="00541AFA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26</w:t>
            </w:r>
            <w:r w:rsid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9B2A9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597</w:t>
            </w:r>
          </w:p>
        </w:tc>
      </w:tr>
      <w:bookmarkEnd w:id="0"/>
    </w:tbl>
    <w:p w14:paraId="2E10D007" w14:textId="77777777" w:rsidR="004C4E5F" w:rsidRDefault="004C4E5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69814337" w14:textId="77777777" w:rsidR="00F74020" w:rsidRDefault="00F74020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 w:hint="eastAsia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0C00695" w14:textId="75498A82" w:rsidR="004B0C3B" w:rsidRPr="001F6D4D" w:rsidRDefault="004B0C3B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="006679FE" w:rsidRPr="009B2A96">
        <w:rPr>
          <w:rFonts w:ascii="Times New Roman" w:eastAsia="SimSun"/>
          <w:lang w:eastAsia="zh-CN"/>
        </w:rPr>
        <w:t>$</w:t>
      </w:r>
      <w:r w:rsidR="006679FE" w:rsidRPr="009B2A96">
        <w:rPr>
          <w:rFonts w:ascii="Times New Roman" w:eastAsia="新細明體"/>
        </w:rPr>
        <w:t>1</w:t>
      </w:r>
      <w:r w:rsidR="006679FE" w:rsidRPr="001F6D4D">
        <w:rPr>
          <w:rFonts w:eastAsia="SimSun"/>
          <w:lang w:eastAsia="zh-CN"/>
        </w:rPr>
        <w:t xml:space="preserve"> </w:t>
      </w:r>
      <w:r w:rsidR="006679FE" w:rsidRPr="006679FE">
        <w:rPr>
          <w:rFonts w:ascii="Times New Roman" w:eastAsia="新細明體"/>
        </w:rPr>
        <w:t>b</w:t>
      </w:r>
      <w:r w:rsidR="006679FE"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423249" w:rsidRPr="00423249" w14:paraId="3E440AF0" w14:textId="77777777" w:rsidTr="008730BE">
        <w:trPr>
          <w:trHeight w:val="871"/>
        </w:trPr>
        <w:tc>
          <w:tcPr>
            <w:tcW w:w="3312" w:type="dxa"/>
          </w:tcPr>
          <w:p w14:paraId="11C9687C" w14:textId="57E7D0E9" w:rsidR="004B0C3B" w:rsidRPr="00423249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08BB5" wp14:editId="57BC4D4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6DEAD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76BA1551" w14:textId="00289441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>As of Ju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ly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843" w:type="dxa"/>
            <w:vAlign w:val="center"/>
          </w:tcPr>
          <w:p w14:paraId="5BD0AE13" w14:textId="44759D57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June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0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559" w:type="dxa"/>
            <w:vAlign w:val="center"/>
          </w:tcPr>
          <w:p w14:paraId="6FB2ED3C" w14:textId="349157B0" w:rsidR="004B0C3B" w:rsidRPr="00423249" w:rsidRDefault="004B0C3B" w:rsidP="008730BE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="006679FE"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423249" w:rsidRPr="00423249" w14:paraId="2A3ADACF" w14:textId="77777777">
        <w:tc>
          <w:tcPr>
            <w:tcW w:w="3312" w:type="dxa"/>
          </w:tcPr>
          <w:p w14:paraId="536461A4" w14:textId="0E206811" w:rsidR="00541AFA" w:rsidRPr="00423249" w:rsidRDefault="00541AFA" w:rsidP="00541AFA">
            <w:pPr>
              <w:pStyle w:val="af3"/>
              <w:spacing w:line="0" w:lineRule="atLeast"/>
              <w:ind w:left="0"/>
              <w:rPr>
                <w:rFonts w:hint="eastAsia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="00F74020"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="00F74020"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="006679FE"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remittance from offshore </w:t>
            </w:r>
            <w:r w:rsidR="00F74020"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84" w:type="dxa"/>
            <w:vAlign w:val="center"/>
          </w:tcPr>
          <w:p w14:paraId="4D02C338" w14:textId="6CF776C1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272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18</w:t>
            </w:r>
          </w:p>
        </w:tc>
        <w:tc>
          <w:tcPr>
            <w:tcW w:w="1843" w:type="dxa"/>
            <w:vAlign w:val="center"/>
          </w:tcPr>
          <w:p w14:paraId="7E0811BC" w14:textId="6C93C644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277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</w:t>
            </w:r>
          </w:p>
        </w:tc>
        <w:tc>
          <w:tcPr>
            <w:tcW w:w="1559" w:type="dxa"/>
            <w:vAlign w:val="center"/>
          </w:tcPr>
          <w:p w14:paraId="169D43B3" w14:textId="1DFF33E7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709)</w:t>
            </w:r>
          </w:p>
        </w:tc>
      </w:tr>
      <w:tr w:rsidR="00423249" w:rsidRPr="00423249" w14:paraId="50D258CC" w14:textId="77777777">
        <w:trPr>
          <w:trHeight w:val="622"/>
        </w:trPr>
        <w:tc>
          <w:tcPr>
            <w:tcW w:w="3312" w:type="dxa"/>
            <w:vAlign w:val="center"/>
          </w:tcPr>
          <w:p w14:paraId="2EE8F431" w14:textId="597D834A" w:rsidR="00541AFA" w:rsidRPr="00423249" w:rsidRDefault="00541AFA" w:rsidP="00541AFA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="00F74020"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="00F74020"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="006679FE"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="006679FE"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>remittance from Mainland area investors</w:t>
            </w:r>
          </w:p>
        </w:tc>
        <w:tc>
          <w:tcPr>
            <w:tcW w:w="1984" w:type="dxa"/>
            <w:vAlign w:val="center"/>
          </w:tcPr>
          <w:p w14:paraId="39ECD019" w14:textId="20C2B8AB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 xml:space="preserve">   0</w:t>
            </w:r>
            <w:r w:rsidRPr="00423249"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74</w:t>
            </w:r>
          </w:p>
        </w:tc>
        <w:tc>
          <w:tcPr>
            <w:tcW w:w="1843" w:type="dxa"/>
            <w:vAlign w:val="center"/>
          </w:tcPr>
          <w:p w14:paraId="4CF80FD2" w14:textId="74F81BE3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 xml:space="preserve">   0</w:t>
            </w:r>
            <w:r w:rsidRPr="00423249"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67</w:t>
            </w:r>
          </w:p>
        </w:tc>
        <w:tc>
          <w:tcPr>
            <w:tcW w:w="1559" w:type="dxa"/>
            <w:vAlign w:val="center"/>
          </w:tcPr>
          <w:p w14:paraId="6383C2BB" w14:textId="6276DEB0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 xml:space="preserve"> 0.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07</w:t>
            </w:r>
          </w:p>
        </w:tc>
      </w:tr>
      <w:tr w:rsidR="00423249" w:rsidRPr="00423249" w14:paraId="47691387" w14:textId="77777777">
        <w:trPr>
          <w:trHeight w:val="622"/>
        </w:trPr>
        <w:tc>
          <w:tcPr>
            <w:tcW w:w="3312" w:type="dxa"/>
            <w:vAlign w:val="center"/>
          </w:tcPr>
          <w:p w14:paraId="30A57449" w14:textId="77777777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4" w:type="dxa"/>
            <w:vAlign w:val="center"/>
          </w:tcPr>
          <w:p w14:paraId="566AD6C1" w14:textId="24884716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272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092</w:t>
            </w:r>
          </w:p>
        </w:tc>
        <w:tc>
          <w:tcPr>
            <w:tcW w:w="1843" w:type="dxa"/>
            <w:vAlign w:val="center"/>
          </w:tcPr>
          <w:p w14:paraId="5BBD99D4" w14:textId="47806AA6" w:rsidR="00541AFA" w:rsidRPr="00423249" w:rsidRDefault="00541AFA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277</w:t>
            </w:r>
            <w:r w:rsidR="006679FE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794</w:t>
            </w:r>
          </w:p>
        </w:tc>
        <w:tc>
          <w:tcPr>
            <w:tcW w:w="1559" w:type="dxa"/>
            <w:vAlign w:val="center"/>
          </w:tcPr>
          <w:p w14:paraId="13C3538D" w14:textId="76D3BD51" w:rsidR="00541AFA" w:rsidRPr="00423249" w:rsidRDefault="006679FE" w:rsidP="00541AFA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541AFA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541AFA"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702</w:t>
            </w:r>
            <w:r w:rsidRPr="0042324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2E19DCA6" w14:textId="77777777" w:rsidR="004B0C3B" w:rsidRPr="001F6D4D" w:rsidRDefault="004B0C3B" w:rsidP="000A58E7">
      <w:pPr>
        <w:snapToGrid w:val="0"/>
        <w:spacing w:line="500" w:lineRule="exact"/>
        <w:rPr>
          <w:sz w:val="32"/>
          <w:szCs w:val="32"/>
        </w:rPr>
      </w:pPr>
    </w:p>
    <w:p w14:paraId="3D5ABDD8" w14:textId="452036EC" w:rsidR="004B0C3B" w:rsidRPr="001F6D4D" w:rsidRDefault="004B0C3B" w:rsidP="000A58E7">
      <w:pPr>
        <w:snapToGrid w:val="0"/>
        <w:spacing w:line="500" w:lineRule="exact"/>
        <w:ind w:left="5760" w:hangingChars="1800" w:hanging="5760"/>
        <w:rPr>
          <w:sz w:val="32"/>
          <w:szCs w:val="32"/>
        </w:rPr>
      </w:pPr>
    </w:p>
    <w:sectPr w:rsidR="004B0C3B" w:rsidRPr="001F6D4D">
      <w:headerReference w:type="default" r:id="rId7"/>
      <w:footerReference w:type="default" r:id="rId8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D89A" w14:textId="77777777" w:rsidR="00FF7C65" w:rsidRDefault="00FF7C65">
      <w:r>
        <w:separator/>
      </w:r>
    </w:p>
  </w:endnote>
  <w:endnote w:type="continuationSeparator" w:id="0">
    <w:p w14:paraId="095F5709" w14:textId="77777777" w:rsidR="00FF7C65" w:rsidRDefault="00FF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6195" w14:textId="77777777" w:rsidR="00FF7C65" w:rsidRDefault="00FF7C65">
      <w:r>
        <w:separator/>
      </w:r>
    </w:p>
  </w:footnote>
  <w:footnote w:type="continuationSeparator" w:id="0">
    <w:p w14:paraId="7EA7CB5C" w14:textId="77777777" w:rsidR="00FF7C65" w:rsidRDefault="00FF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401B6"/>
    <w:rsid w:val="00042BDB"/>
    <w:rsid w:val="0004338D"/>
    <w:rsid w:val="00043879"/>
    <w:rsid w:val="000470AD"/>
    <w:rsid w:val="0005461B"/>
    <w:rsid w:val="0005566D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F93"/>
    <w:rsid w:val="0009643F"/>
    <w:rsid w:val="000971B9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67B5"/>
    <w:rsid w:val="001A3618"/>
    <w:rsid w:val="001A560B"/>
    <w:rsid w:val="001A75CF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3F53"/>
    <w:rsid w:val="00254C74"/>
    <w:rsid w:val="0026039E"/>
    <w:rsid w:val="002626D1"/>
    <w:rsid w:val="002629BB"/>
    <w:rsid w:val="002703E8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31FA"/>
    <w:rsid w:val="00304999"/>
    <w:rsid w:val="00310FA8"/>
    <w:rsid w:val="00311E53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2C7A"/>
    <w:rsid w:val="00373B74"/>
    <w:rsid w:val="00373FCC"/>
    <w:rsid w:val="00374F3A"/>
    <w:rsid w:val="00380430"/>
    <w:rsid w:val="00381114"/>
    <w:rsid w:val="00387B1D"/>
    <w:rsid w:val="00392303"/>
    <w:rsid w:val="00392705"/>
    <w:rsid w:val="0039389E"/>
    <w:rsid w:val="003A3F4D"/>
    <w:rsid w:val="003A7ECA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F3B44"/>
    <w:rsid w:val="003F5085"/>
    <w:rsid w:val="003F6301"/>
    <w:rsid w:val="003F63E5"/>
    <w:rsid w:val="003F7534"/>
    <w:rsid w:val="00401666"/>
    <w:rsid w:val="00402219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2BE3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5D2F"/>
    <w:rsid w:val="004A5E50"/>
    <w:rsid w:val="004A6268"/>
    <w:rsid w:val="004A6C85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50F81"/>
    <w:rsid w:val="00552C67"/>
    <w:rsid w:val="00553B01"/>
    <w:rsid w:val="0055449E"/>
    <w:rsid w:val="005548FB"/>
    <w:rsid w:val="005629C4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FC4"/>
    <w:rsid w:val="005D43D1"/>
    <w:rsid w:val="005D47B6"/>
    <w:rsid w:val="005D5869"/>
    <w:rsid w:val="005D6939"/>
    <w:rsid w:val="005D6E03"/>
    <w:rsid w:val="005D7174"/>
    <w:rsid w:val="005D7FE9"/>
    <w:rsid w:val="005E3C30"/>
    <w:rsid w:val="005E4DB1"/>
    <w:rsid w:val="005E5A28"/>
    <w:rsid w:val="005E7B11"/>
    <w:rsid w:val="005E7FC7"/>
    <w:rsid w:val="005F0438"/>
    <w:rsid w:val="005F0C94"/>
    <w:rsid w:val="005F1F94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6CD1"/>
    <w:rsid w:val="00756DAB"/>
    <w:rsid w:val="00757F56"/>
    <w:rsid w:val="007643E9"/>
    <w:rsid w:val="00771C10"/>
    <w:rsid w:val="007725DD"/>
    <w:rsid w:val="00772B62"/>
    <w:rsid w:val="007742CE"/>
    <w:rsid w:val="0077501F"/>
    <w:rsid w:val="00777DE7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714A"/>
    <w:rsid w:val="0084745B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D40AB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78F4"/>
    <w:rsid w:val="00A03499"/>
    <w:rsid w:val="00A03E7D"/>
    <w:rsid w:val="00A123B7"/>
    <w:rsid w:val="00A17B73"/>
    <w:rsid w:val="00A22297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6E2B"/>
    <w:rsid w:val="00B04FD9"/>
    <w:rsid w:val="00B0746E"/>
    <w:rsid w:val="00B10176"/>
    <w:rsid w:val="00B1022F"/>
    <w:rsid w:val="00B11B4B"/>
    <w:rsid w:val="00B13F02"/>
    <w:rsid w:val="00B14E2C"/>
    <w:rsid w:val="00B22663"/>
    <w:rsid w:val="00B26AD6"/>
    <w:rsid w:val="00B273E8"/>
    <w:rsid w:val="00B332FB"/>
    <w:rsid w:val="00B34A79"/>
    <w:rsid w:val="00B357FE"/>
    <w:rsid w:val="00B41F8D"/>
    <w:rsid w:val="00B471D3"/>
    <w:rsid w:val="00B50D94"/>
    <w:rsid w:val="00B51C24"/>
    <w:rsid w:val="00B541D4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6053"/>
    <w:rsid w:val="00B9762B"/>
    <w:rsid w:val="00BA0E64"/>
    <w:rsid w:val="00BA1BE7"/>
    <w:rsid w:val="00BA37E6"/>
    <w:rsid w:val="00BA6353"/>
    <w:rsid w:val="00BB09DC"/>
    <w:rsid w:val="00BB1BDC"/>
    <w:rsid w:val="00BB52CD"/>
    <w:rsid w:val="00BC2880"/>
    <w:rsid w:val="00BD287E"/>
    <w:rsid w:val="00BD6306"/>
    <w:rsid w:val="00BE1D74"/>
    <w:rsid w:val="00BE4BE3"/>
    <w:rsid w:val="00BE61BB"/>
    <w:rsid w:val="00BE7058"/>
    <w:rsid w:val="00BE7ED0"/>
    <w:rsid w:val="00BF2A4A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492E"/>
    <w:rsid w:val="00C563D1"/>
    <w:rsid w:val="00C63FD5"/>
    <w:rsid w:val="00C66F3A"/>
    <w:rsid w:val="00C718C0"/>
    <w:rsid w:val="00C72521"/>
    <w:rsid w:val="00C72DB0"/>
    <w:rsid w:val="00C73376"/>
    <w:rsid w:val="00C75EF0"/>
    <w:rsid w:val="00C834B0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2117"/>
    <w:rsid w:val="00CE388D"/>
    <w:rsid w:val="00CE42BC"/>
    <w:rsid w:val="00CE6BDA"/>
    <w:rsid w:val="00CF11C0"/>
    <w:rsid w:val="00CF21AA"/>
    <w:rsid w:val="00CF2417"/>
    <w:rsid w:val="00CF3435"/>
    <w:rsid w:val="00CF77A1"/>
    <w:rsid w:val="00D00AD0"/>
    <w:rsid w:val="00D0584E"/>
    <w:rsid w:val="00D06B59"/>
    <w:rsid w:val="00D10894"/>
    <w:rsid w:val="00D12912"/>
    <w:rsid w:val="00D131CB"/>
    <w:rsid w:val="00D20177"/>
    <w:rsid w:val="00D21640"/>
    <w:rsid w:val="00D21857"/>
    <w:rsid w:val="00D316CB"/>
    <w:rsid w:val="00D33A56"/>
    <w:rsid w:val="00D35B8A"/>
    <w:rsid w:val="00D3734E"/>
    <w:rsid w:val="00D37364"/>
    <w:rsid w:val="00D37DFE"/>
    <w:rsid w:val="00D40604"/>
    <w:rsid w:val="00D42253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90571"/>
    <w:rsid w:val="00D94075"/>
    <w:rsid w:val="00D9591B"/>
    <w:rsid w:val="00D963F8"/>
    <w:rsid w:val="00D9670B"/>
    <w:rsid w:val="00D9781D"/>
    <w:rsid w:val="00D97E1F"/>
    <w:rsid w:val="00DA0239"/>
    <w:rsid w:val="00DA36A2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E01E26"/>
    <w:rsid w:val="00E04636"/>
    <w:rsid w:val="00E072B5"/>
    <w:rsid w:val="00E07692"/>
    <w:rsid w:val="00E138E1"/>
    <w:rsid w:val="00E15732"/>
    <w:rsid w:val="00E15BEA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7A83"/>
    <w:rsid w:val="00E61F9E"/>
    <w:rsid w:val="00E62F8C"/>
    <w:rsid w:val="00E63974"/>
    <w:rsid w:val="00E64AC8"/>
    <w:rsid w:val="00E65525"/>
    <w:rsid w:val="00E669A5"/>
    <w:rsid w:val="00E70B1E"/>
    <w:rsid w:val="00E70CFA"/>
    <w:rsid w:val="00E7136C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A3226"/>
    <w:rsid w:val="00EA4521"/>
    <w:rsid w:val="00EA452E"/>
    <w:rsid w:val="00EA49A0"/>
    <w:rsid w:val="00EA64DD"/>
    <w:rsid w:val="00EB15BB"/>
    <w:rsid w:val="00EB5B82"/>
    <w:rsid w:val="00EC18BF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572F"/>
    <w:rsid w:val="00EF58D1"/>
    <w:rsid w:val="00EF71B0"/>
    <w:rsid w:val="00EF7F81"/>
    <w:rsid w:val="00F034D4"/>
    <w:rsid w:val="00F03698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72FCD"/>
    <w:rsid w:val="00F734F0"/>
    <w:rsid w:val="00F738A9"/>
    <w:rsid w:val="00F74020"/>
    <w:rsid w:val="00F74633"/>
    <w:rsid w:val="00F766FD"/>
    <w:rsid w:val="00F834CE"/>
    <w:rsid w:val="00F8420C"/>
    <w:rsid w:val="00F86450"/>
    <w:rsid w:val="00F934D8"/>
    <w:rsid w:val="00F9423A"/>
    <w:rsid w:val="00F95D4E"/>
    <w:rsid w:val="00F96F5E"/>
    <w:rsid w:val="00F975EE"/>
    <w:rsid w:val="00FA0878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2057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賴靜儀ching</cp:lastModifiedBy>
  <cp:revision>33</cp:revision>
  <cp:lastPrinted>2024-08-02T02:15:00Z</cp:lastPrinted>
  <dcterms:created xsi:type="dcterms:W3CDTF">2024-07-15T06:15:00Z</dcterms:created>
  <dcterms:modified xsi:type="dcterms:W3CDTF">2024-08-05T03:31:00Z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